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7" w:rsidRDefault="00231A37" w:rsidP="00231A37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755"/>
        <w:gridCol w:w="617"/>
        <w:gridCol w:w="616"/>
        <w:gridCol w:w="675"/>
        <w:gridCol w:w="675"/>
        <w:gridCol w:w="675"/>
      </w:tblGrid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ВВА-1,14 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ВВА2-1,14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напряжение, В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380; 660; 1140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31.5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50 Гц главной цепи, А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630; 1000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1250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цепи управления приводом, В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220/220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вспомогательных контактов, А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231A37" w:rsidTr="00231A37">
        <w:tc>
          <w:tcPr>
            <w:tcW w:w="0" w:type="auto"/>
            <w:vMerge w:val="restar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Коммутируемые токи вспомогательных контактов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U, B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440 </w:t>
            </w:r>
          </w:p>
        </w:tc>
      </w:tr>
      <w:tr w:rsidR="00231A37" w:rsidTr="00231A37"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bottom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АС,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0,5</w:t>
            </w:r>
          </w:p>
        </w:tc>
      </w:tr>
      <w:tr w:rsidR="00231A37" w:rsidTr="00231A37"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bottom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ДС,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0,03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включения, с,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0,06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0,08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0,04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Номинальный ток максимального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расцепителя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А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400; 500; 630; 800; 1000; 1250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включения, А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15/50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отключения,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1,0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</w:tr>
      <w:tr w:rsidR="00231A37" w:rsidTr="00231A37"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выключателя, кг, не более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без блока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управл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./с блоком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управл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45/50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55/60</w:t>
            </w:r>
          </w:p>
        </w:tc>
      </w:tr>
    </w:tbl>
    <w:p w:rsidR="00231A37" w:rsidRDefault="00231A37" w:rsidP="00231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Автоматическая защита</w:t>
      </w:r>
    </w:p>
    <w:p w:rsidR="00231A37" w:rsidRDefault="00231A37" w:rsidP="00231A37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Выключатель поставляться как с блоком электронной токовой защиты, так и без блока (для применения в горнорудной и др. отраслях, где токовая защита применяется своя). Электронная токовая защита обеспечивает следующие виды защит (одну или несколько в зависимости от </w:t>
      </w:r>
      <w:proofErr w:type="spellStart"/>
      <w:r>
        <w:rPr>
          <w:rFonts w:ascii="Verdana" w:hAnsi="Verdana"/>
          <w:color w:val="010101"/>
          <w:sz w:val="18"/>
          <w:szCs w:val="18"/>
        </w:rPr>
        <w:t>типоисполнения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выключателя или без защит):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максимальная токовая защита каждой из фаз по перегрузу с выдержкой времени, зависимой от тока;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максимальная токовая защита каждой из фаз по перегрузу с выдержкой времени, независимой от тока;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токовая отсечка в зоне коротких замыканий с выдержкой времени, зависимой от тока;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токовая отсечка в зоне коротких замыканий с выдержкой времени, независимой от тока;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токовая отсечка в зоне коротких замыканий без выдержки времени;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токовая защита по току утечки на землю с выдержкой времени, независимой от тока;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минимальная защита каждой из фаз по напряжению, с выдержкой времени;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  <w:t>— нулевая защита каждой из фаз по напряжению, с выдержкой времени.</w:t>
      </w:r>
    </w:p>
    <w:p w:rsidR="00231A37" w:rsidRDefault="00231A37" w:rsidP="00231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Устройство обеспечивает оперативную установку </w:t>
      </w:r>
      <w:r>
        <w:rPr>
          <w:rFonts w:ascii="Verdana" w:hAnsi="Verdana"/>
          <w:b/>
          <w:bCs/>
          <w:i/>
          <w:iCs/>
          <w:color w:val="010101"/>
          <w:sz w:val="18"/>
          <w:szCs w:val="18"/>
          <w:bdr w:val="none" w:sz="0" w:space="0" w:color="auto" w:frame="1"/>
        </w:rPr>
        <w:br/>
      </w: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пороговых уровней защиты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2929"/>
      </w:tblGrid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Наименование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Значение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уставки</w:t>
            </w:r>
            <w:proofErr w:type="spellEnd"/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выключателя,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630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1000; (1250)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 xml:space="preserve"> Номинальный рабочий ток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Iнр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в долях от номинального тока выключателя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0,63; 0,8;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1,0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времени в зоне токов перегрузки с выдержкой времени, зависимой от тока ( при токе 6 ґ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Iнр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) – t1,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8; 16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времени в зоне токов перегрузки с выдержкой времени, независимой от тока – t1*,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От 0 до 128 сек. с шагом 1 сек.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току отсечки в зоне коротких замыканий с выдержкой времени – I2, кратная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Iнр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3; 5; 7; 10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времени задержки срабатывания защиты по току отсечки с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токозависимой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выдержкой времени (при токе – I2 ) – t2,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0,1; 0,2; 0,3;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0,4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времени задержки срабатывания защиты по току отсечки с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токонезависимой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выдержкой времени – t2*,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От 0 до 1,0 сек. с шагом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0,1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 сек.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току отсечки в зоне коротких замыканий без выдержки времени – I3, кратная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Iнр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5; 7; 10; 12; 16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току утечки на землю, в долях от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Iнр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0,4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0,6; 1,0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времени задержки срабатывания защиты по току утечки на землю – t3,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0,1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0,2; 0,4; 0,8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 минимального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220; 230;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380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; 400; 415; 660; 690; 725</w:t>
            </w:r>
          </w:p>
        </w:tc>
      </w:tr>
      <w:tr w:rsidR="00231A37" w:rsidTr="00231A37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Уставка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по времени задержки срабатывания защиты по нулевому и минимальному напряжению – t4,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1A37" w:rsidRDefault="00231A37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0; 0,5; 1,0; 1,5; 2,0; 2,5; </w:t>
            </w: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3,0</w:t>
            </w:r>
          </w:p>
        </w:tc>
      </w:tr>
    </w:tbl>
    <w:p w:rsidR="00231A37" w:rsidRDefault="00231A37" w:rsidP="00231A37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 xml:space="preserve">* При поставке </w:t>
      </w:r>
      <w:proofErr w:type="spellStart"/>
      <w:r>
        <w:rPr>
          <w:rFonts w:ascii="Verdana" w:hAnsi="Verdana"/>
          <w:color w:val="010101"/>
          <w:sz w:val="18"/>
          <w:szCs w:val="18"/>
        </w:rPr>
        <w:t>уставки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по току отсечки и току перегрузки с выдержкой времени зависимой от тока программируются </w:t>
      </w:r>
      <w:proofErr w:type="spellStart"/>
      <w:r>
        <w:rPr>
          <w:rFonts w:ascii="Verdana" w:hAnsi="Verdana"/>
          <w:color w:val="010101"/>
          <w:sz w:val="18"/>
          <w:szCs w:val="18"/>
        </w:rPr>
        <w:t>неутключаемые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</w:rPr>
        <w:t>уставки</w:t>
      </w:r>
      <w:proofErr w:type="spellEnd"/>
      <w:r>
        <w:rPr>
          <w:rFonts w:ascii="Verdana" w:hAnsi="Verdana"/>
          <w:color w:val="010101"/>
          <w:sz w:val="18"/>
          <w:szCs w:val="18"/>
        </w:rPr>
        <w:t>.</w:t>
      </w:r>
    </w:p>
    <w:p w:rsidR="00231A37" w:rsidRDefault="00231A37" w:rsidP="00231A37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Примечание: </w:t>
      </w:r>
      <w:r>
        <w:rPr>
          <w:rFonts w:ascii="Verdana" w:hAnsi="Verdana"/>
          <w:color w:val="010101"/>
          <w:sz w:val="18"/>
          <w:szCs w:val="18"/>
        </w:rPr>
        <w:br/>
        <w:t xml:space="preserve">1) Выделенные </w:t>
      </w:r>
      <w:proofErr w:type="spellStart"/>
      <w:r>
        <w:rPr>
          <w:rFonts w:ascii="Verdana" w:hAnsi="Verdana"/>
          <w:color w:val="010101"/>
          <w:sz w:val="18"/>
          <w:szCs w:val="18"/>
        </w:rPr>
        <w:t>уставки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устанавливаются заводом-изготовителем, </w:t>
      </w:r>
      <w:proofErr w:type="spellStart"/>
      <w:r>
        <w:rPr>
          <w:rFonts w:ascii="Verdana" w:hAnsi="Verdana"/>
          <w:color w:val="010101"/>
          <w:sz w:val="18"/>
          <w:szCs w:val="18"/>
        </w:rPr>
        <w:t>уставки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могут перенастраиваться в процессе эксплуатации.</w:t>
      </w:r>
      <w:r>
        <w:rPr>
          <w:rFonts w:ascii="Verdana" w:hAnsi="Verdana"/>
          <w:color w:val="010101"/>
          <w:sz w:val="18"/>
          <w:szCs w:val="18"/>
        </w:rPr>
        <w:br/>
        <w:t xml:space="preserve">2) При отдельном заказе программируются другие значения </w:t>
      </w:r>
      <w:proofErr w:type="spellStart"/>
      <w:r>
        <w:rPr>
          <w:rFonts w:ascii="Verdana" w:hAnsi="Verdana"/>
          <w:color w:val="010101"/>
          <w:sz w:val="18"/>
          <w:szCs w:val="18"/>
        </w:rPr>
        <w:t>уставок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по требованию потребителя.</w:t>
      </w:r>
    </w:p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558E6"/>
    <w:rsid w:val="00405459"/>
    <w:rsid w:val="004E2DBE"/>
    <w:rsid w:val="006A205C"/>
    <w:rsid w:val="00733EFC"/>
    <w:rsid w:val="00876E1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23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</cp:revision>
  <dcterms:created xsi:type="dcterms:W3CDTF">2018-06-09T10:16:00Z</dcterms:created>
  <dcterms:modified xsi:type="dcterms:W3CDTF">2018-06-14T02:12:00Z</dcterms:modified>
</cp:coreProperties>
</file>