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</w:t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Структура условного обозначения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drawing>
          <wp:inline distT="0" distB="0" distL="0" distR="0">
            <wp:extent cx="6193790" cy="3546475"/>
            <wp:effectExtent l="0" t="0" r="0" b="0"/>
            <wp:docPr id="51" name="Рисунок 51" descr="http://signalrp.ru/catalog/sea3/images/SUOSE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ignalrp.ru/catalog/sea3/images/SUOSEA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proofErr w:type="spellStart"/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Типоисполнения</w:t>
      </w:r>
      <w:proofErr w:type="spellEnd"/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 xml:space="preserve"> и технические характеристики</w:t>
      </w:r>
    </w:p>
    <w:tbl>
      <w:tblPr>
        <w:tblW w:w="196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3842"/>
        <w:gridCol w:w="4581"/>
        <w:gridCol w:w="1565"/>
        <w:gridCol w:w="1659"/>
        <w:gridCol w:w="2254"/>
        <w:gridCol w:w="2664"/>
        <w:gridCol w:w="2278"/>
      </w:tblGrid>
      <w:tr w:rsidR="007036F4" w:rsidRPr="007036F4" w:rsidTr="007036F4"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№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Условное обозначение счетчиков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Количество тарифов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bookmarkStart w:id="0" w:name="_GoBack"/>
            <w:bookmarkEnd w:id="0"/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Исполнение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Класс точности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Номинальное напряжение, В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Базовый или номинальный (максимальный) ток, А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 xml:space="preserve">Передаточное число импульсного выходного устройства, </w:t>
            </w:r>
            <w:proofErr w:type="spellStart"/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имп</w:t>
            </w:r>
            <w:proofErr w:type="spellEnd"/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/</w:t>
            </w:r>
            <w:proofErr w:type="spellStart"/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кВт·ч</w:t>
            </w:r>
            <w:proofErr w:type="spellEnd"/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 5-55А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СЭА3-1 5-55А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СЭА3-2 5-55А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8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СЭА3-2 5-55А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СЭА3-1 10-100А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(100)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СЭА3-2 10-100А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(100)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СЭА3-2 10-100А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(100)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СЭА3-2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СЭА3-2 5-7,5А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СЭА3М-1 5-55А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СЭА3М-2 5-55А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СЭА3М-2 5-55А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СЭА3М-2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СЭА3М-2 5-7,5А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СЭА3МТ-2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СЭА3МТ-2 5-7,5А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СЭА3МУ-1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Мг.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СЭА3МУ-2 5-7,5А 12В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Мг.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СЭА3М-1 5-55А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36F4" w:rsidRPr="007036F4" w:rsidTr="007036F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СЭА3МУ-1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Мг.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СЭА3-1 5-55А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СЭА3-1 10-100А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(100)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3х220/380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СЭА3Т-1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СЭА3Т-1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СЭА3У-1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СЭА3У-1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СЭА3К-1 5-55А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36F4" w:rsidRPr="007036F4" w:rsidTr="007036F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СЭА3К-1 5-55А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СЭА3К-1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СЭА3К-1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СЭА3КУ-1 5-7,5А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СЭА3КУ-1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СЭА3МИ-1 5-55А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СЭА3МИ-2 5-55А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СЭА3МИ-2 5-55А 12В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(55)</w:t>
            </w:r>
          </w:p>
        </w:tc>
        <w:tc>
          <w:tcPr>
            <w:tcW w:w="0" w:type="auto"/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СЭА3МИ-1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СЭА3МИ-2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СЭА3МИ-2 5-7,5А 12В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СЭА3МТИ-1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СЭА3МТИ-2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СЭА3МТИ-2 5-7,5А 12В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Тр., 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СЭА3МУИ-1 5-7,5А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Мг.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F4" w:rsidRPr="007036F4" w:rsidTr="007036F4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СЭА3МУИ-2 5-7,5А 12В 1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Тр., Мг.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Трёхпров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(7,5)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Примечание: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 </w:t>
      </w:r>
      <w:proofErr w:type="spellStart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Тр</w:t>
      </w:r>
      <w:proofErr w:type="spell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– подключение через трансформатор, Мг – малогабаритный корпус, </w:t>
      </w:r>
      <w:proofErr w:type="spellStart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Трёхпров</w:t>
      </w:r>
      <w:proofErr w:type="spell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. – трехпроводной. 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Условия эксплуатации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  <w:t>Счетчики устанавливаются в закрытых помещениях и устройствах наружного размещения, обеспечивающих степень защиты IP33, с рабочими условиями эксплуатации: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proofErr w:type="gramStart"/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lastRenderedPageBreak/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температура</w:t>
      </w:r>
      <w:proofErr w:type="gram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окружающего воздуха от минус 40°С до +60°С для счётчиков с электромеханическим отсчётным устройством и от минус 20°С до +60°С для счётчиков с ЖКИ дисплеем;</w:t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proofErr w:type="gramStart"/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относительная</w:t>
      </w:r>
      <w:proofErr w:type="gram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влажность воздуха 98% при +25°С;</w:t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атмосферное давление от 537 до 800 мм рт. ст.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Маркировка зажимов и схем включения счетчиков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5301"/>
      </w:tblGrid>
      <w:tr w:rsidR="007036F4" w:rsidRPr="007036F4" w:rsidTr="007036F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включения счетчика СЭА3</w:t>
            </w: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прямого включения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включения счетчика СЭА3</w:t>
            </w: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трансформаторного включения по току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15970" cy="1478915"/>
                  <wp:effectExtent l="0" t="0" r="0" b="6985"/>
                  <wp:docPr id="50" name="Рисунок 50" descr="http://signalrp.ru/catalog/sea3/images/MZSVSEA3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signalrp.ru/catalog/sea3/images/MZSVSEA3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97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15970" cy="1478915"/>
                  <wp:effectExtent l="0" t="0" r="0" b="6985"/>
                  <wp:docPr id="49" name="Рисунок 49" descr="http://signalrp.ru/catalog/sea3/images/MZSVSEA3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signalrp.ru/catalog/sea3/images/MZSVSEA3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97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F4" w:rsidRPr="007036F4" w:rsidTr="007036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Схема включения трехпроводных счетчиков СЭА3МУ трансформаторного включения по току и напряжению</w:t>
            </w:r>
          </w:p>
        </w:tc>
      </w:tr>
      <w:tr w:rsidR="007036F4" w:rsidRPr="007036F4" w:rsidTr="007036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99000" cy="1288415"/>
                  <wp:effectExtent l="0" t="0" r="6350" b="6985"/>
                  <wp:docPr id="48" name="Рисунок 48" descr="http://signalrp.ru/catalog/sea3/images/MZSVSEA3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signalrp.ru/catalog/sea3/images/MZSVSEA3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Схема включения счетчика СЭА3M</w:t>
            </w: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прямого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Схема включения счетчика СЭА3М</w:t>
            </w: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трансформаторного включения по току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1840" cy="1478915"/>
                  <wp:effectExtent l="0" t="0" r="3810" b="6985"/>
                  <wp:docPr id="47" name="Рисунок 47" descr="http://signalrp.ru/catalog/sea3/images/MZSVSEA3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signalrp.ru/catalog/sea3/images/MZSVSEA3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2965" cy="1478915"/>
                  <wp:effectExtent l="0" t="0" r="6985" b="6985"/>
                  <wp:docPr id="46" name="Рисунок 46" descr="http://signalrp.ru/catalog/sea3/images/MZSVSEA3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signalrp.ru/catalog/sea3/images/MZSVSEA3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F4" w:rsidRPr="007036F4" w:rsidTr="007036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включения четырехпроводных счетчиков СЭА3МТ трансформаторного включения по току и напряжению</w:t>
            </w:r>
          </w:p>
        </w:tc>
      </w:tr>
      <w:tr w:rsidR="007036F4" w:rsidRPr="007036F4" w:rsidTr="007036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12005" cy="1288415"/>
                  <wp:effectExtent l="0" t="0" r="0" b="6985"/>
                  <wp:docPr id="45" name="Рисунок 45" descr="http://signalrp.ru/catalog/sea3/images/MZSVSEA3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signalrp.ru/catalog/sea3/images/MZSVSEA3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00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Схема включения счетчиков СЭА3Т трансформаторного включения по току и напряжению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drawing>
          <wp:inline distT="0" distB="0" distL="0" distR="0">
            <wp:extent cx="4612005" cy="1725295"/>
            <wp:effectExtent l="0" t="0" r="0" b="8255"/>
            <wp:docPr id="44" name="Рисунок 44" descr="http://signalrp.ru/catalog/sea3/images/MZSVSEA3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signalrp.ru/catalog/sea3/images/MZSVSEA3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  <w:t>Схема включения трехпроводных счетчиков СЭА3У трансформаторного включения по току и напряжению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drawing>
          <wp:inline distT="0" distB="0" distL="0" distR="0">
            <wp:extent cx="4612005" cy="1590040"/>
            <wp:effectExtent l="0" t="0" r="0" b="0"/>
            <wp:docPr id="43" name="Рисунок 43" descr="http://signalrp.ru/catalog/sea3/images/MZSVSEA3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signalrp.ru/catalog/sea3/images/MZSVSEA3U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  <w:t>Схема включения счетчиков СЭА3К непосредственного включения по току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drawing>
          <wp:inline distT="0" distB="0" distL="0" distR="0">
            <wp:extent cx="4612005" cy="1598295"/>
            <wp:effectExtent l="0" t="0" r="0" b="1905"/>
            <wp:docPr id="42" name="Рисунок 42" descr="http://signalrp.ru/catalog/sea3/images/MZSVSEA3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ignalrp.ru/catalog/sea3/images/MZSVSEA3K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Габаритные и установочные размеры счетчиков СЭА3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lastRenderedPageBreak/>
        <w:drawing>
          <wp:inline distT="0" distB="0" distL="0" distR="0">
            <wp:extent cx="3808730" cy="3808730"/>
            <wp:effectExtent l="0" t="0" r="1270" b="1270"/>
            <wp:docPr id="41" name="Рисунок 41" descr="http://signalrp.ru/catalog/sea3/images/GURSE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signalrp.ru/catalog/sea3/images/GURSEA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Габаритные и установочные размеры счетчиков СЭА3M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drawing>
          <wp:inline distT="0" distB="0" distL="0" distR="0">
            <wp:extent cx="3808730" cy="3180715"/>
            <wp:effectExtent l="0" t="0" r="1270" b="635"/>
            <wp:docPr id="40" name="Рисунок 40" descr="http://signalrp.ru/catalog/sea3/images/GURSEA3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signalrp.ru/catalog/sea3/images/GURSEA3M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Габаритные и установочные размеры счетчиков СЭА3K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noProof/>
          <w:color w:val="7F888F"/>
          <w:sz w:val="26"/>
          <w:szCs w:val="26"/>
          <w:lang w:eastAsia="ru-RU"/>
        </w:rPr>
        <w:lastRenderedPageBreak/>
        <w:drawing>
          <wp:inline distT="0" distB="0" distL="0" distR="0">
            <wp:extent cx="3808730" cy="4500245"/>
            <wp:effectExtent l="0" t="0" r="1270" b="0"/>
            <wp:docPr id="39" name="Рисунок 39" descr="http://signalrp.ru/catalog/sea3/images/GURSEA3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signalrp.ru/catalog/sea3/images/GURSEA3K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Обозначения изделий при заказе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proofErr w:type="gramStart"/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СЭА</w:t>
      </w:r>
      <w:proofErr w:type="gram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3 1 5 55А ИЖСК. 4 111 52.003 ТУ счетчик трехфазный </w:t>
      </w:r>
      <w:proofErr w:type="spellStart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однотарифный</w:t>
      </w:r>
      <w:proofErr w:type="spell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прямого включения.</w:t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proofErr w:type="gramStart"/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СЭА</w:t>
      </w:r>
      <w:proofErr w:type="gram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3 1 1 8А ИЖСК. 4 11152.003 ТУ счетчик трехфазный </w:t>
      </w:r>
      <w:proofErr w:type="spellStart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однотарифный</w:t>
      </w:r>
      <w:proofErr w:type="spell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трансформаторного включения по току.</w:t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proofErr w:type="gramStart"/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СЭА</w:t>
      </w:r>
      <w:proofErr w:type="gram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3М 2 5 55А ИЖСК. 4 111 52.003 ТУ счетчик </w:t>
      </w:r>
      <w:proofErr w:type="spellStart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двухтарифный</w:t>
      </w:r>
      <w:proofErr w:type="spell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прямого включения с управляющим напряжением 220В в малогабаритном корпусе.</w:t>
      </w:r>
    </w:p>
    <w:p w:rsidR="007036F4" w:rsidRPr="007036F4" w:rsidRDefault="007036F4" w:rsidP="007036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proofErr w:type="gramStart"/>
      <w:r w:rsidRPr="007036F4">
        <w:rPr>
          <w:rFonts w:ascii="Arial" w:eastAsia="Times New Roman" w:hAnsi="Symbol" w:cs="Arial"/>
          <w:color w:val="7F888F"/>
          <w:sz w:val="26"/>
          <w:szCs w:val="26"/>
          <w:lang w:eastAsia="ru-RU"/>
        </w:rPr>
        <w:t>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 СЭА</w:t>
      </w:r>
      <w:proofErr w:type="gram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3М 2 1 8А 12В ИЖСК. 4 111 52.003 ТУ счетчик </w:t>
      </w:r>
      <w:proofErr w:type="spellStart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двухтарифный</w:t>
      </w:r>
      <w:proofErr w:type="spellEnd"/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t xml:space="preserve"> трансформаторного включения по току с управляющим напряжением 12В в малогабаритном корпусе.</w:t>
      </w:r>
      <w:r w:rsidRPr="007036F4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7036F4">
        <w:rPr>
          <w:rFonts w:ascii="inherit" w:eastAsia="Times New Roman" w:hAnsi="inherit" w:cs="Arial"/>
          <w:b/>
          <w:bCs/>
          <w:color w:val="3D4449"/>
          <w:sz w:val="26"/>
          <w:szCs w:val="26"/>
          <w:bdr w:val="none" w:sz="0" w:space="0" w:color="auto" w:frame="1"/>
          <w:lang w:eastAsia="ru-RU"/>
        </w:rPr>
        <w:t>Комплектность поставки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3967"/>
        <w:gridCol w:w="3251"/>
      </w:tblGrid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 xml:space="preserve">№ </w:t>
            </w:r>
            <w:proofErr w:type="spellStart"/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п.п</w:t>
            </w:r>
            <w:proofErr w:type="spellEnd"/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7036F4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Количество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электрической энергии СЭА3 (одно из исполнений)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поверки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среднему ремонту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деталей и сборочных 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  <w:tr w:rsidR="007036F4" w:rsidRPr="007036F4" w:rsidTr="007036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расхода материалов на средний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036F4" w:rsidRPr="007036F4" w:rsidRDefault="007036F4" w:rsidP="0070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</w:tbl>
    <w:p w:rsidR="00981463" w:rsidRPr="007036F4" w:rsidRDefault="00981463" w:rsidP="007036F4"/>
    <w:sectPr w:rsidR="00981463" w:rsidRPr="007036F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5471-A55E-4437-980B-9328729B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8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214</cp:revision>
  <dcterms:created xsi:type="dcterms:W3CDTF">2018-06-09T10:16:00Z</dcterms:created>
  <dcterms:modified xsi:type="dcterms:W3CDTF">2018-09-11T13:24:00Z</dcterms:modified>
</cp:coreProperties>
</file>