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9"/>
        <w:gridCol w:w="2741"/>
      </w:tblGrid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Наименование параметра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Значение параметра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Диапазон измерений скорости воздушного потока (ветра), м/с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0,5 - 60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Пределы допускаемой абсолютной погрешности измерений скорости воздушного потока (ветра),  м/с,</w:t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br/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br/>
              <w:t>где V - измеренное значение скорости воздушного потока (ветра), м/с,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± (0,3+0,02∙V)  V&lt; 10  </w:t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br/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br/>
              <w:t>± 0,05∙V            V ≥10 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Диапазон измерений направлений воздушного потока (ветра), градус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0 - 360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Пределы допускаемой абсолютной погрешности, измерений направления воздушного потока (ветра), градус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± 3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Напряжение питания постоянного тока, В (внешний источник)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от 20 до 27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Габаритные размеры, мм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400х280х520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Масса, кг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3,2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Диапазон температуры окружающей среды, </w:t>
            </w:r>
            <w:proofErr w:type="spellStart"/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vertAlign w:val="superscript"/>
                <w:lang w:eastAsia="ru-RU"/>
              </w:rPr>
              <w:t>о</w:t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С</w:t>
            </w:r>
            <w:proofErr w:type="spellEnd"/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от минус 50  до 50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Относительная влажность окружающего воздуха, %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до 98 при 35</w:t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vertAlign w:val="superscript"/>
                <w:lang w:eastAsia="ru-RU"/>
              </w:rPr>
              <w:t> </w:t>
            </w:r>
            <w:proofErr w:type="spellStart"/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vertAlign w:val="superscript"/>
                <w:lang w:eastAsia="ru-RU"/>
              </w:rPr>
              <w:t>о</w:t>
            </w: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С</w:t>
            </w:r>
            <w:proofErr w:type="spellEnd"/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Средний срок службы, лет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8</w:t>
            </w:r>
          </w:p>
        </w:tc>
      </w:tr>
      <w:tr w:rsidR="00502254" w:rsidRPr="00502254" w:rsidTr="00502254">
        <w:trPr>
          <w:tblCellSpacing w:w="0" w:type="dxa"/>
        </w:trPr>
        <w:tc>
          <w:tcPr>
            <w:tcW w:w="9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2254" w:rsidRPr="00502254" w:rsidRDefault="00502254" w:rsidP="00502254">
            <w:pPr>
              <w:spacing w:after="24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Средняя наработка на отказ, ч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254" w:rsidRPr="00502254" w:rsidRDefault="00502254" w:rsidP="00502254">
            <w:pPr>
              <w:spacing w:after="0" w:line="240" w:lineRule="auto"/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</w:pPr>
            <w:r w:rsidRPr="00502254">
              <w:rPr>
                <w:rFonts w:ascii="Tahoma" w:eastAsia="Times New Roman" w:hAnsi="Tahoma" w:cs="Tahoma"/>
                <w:color w:val="7B7B7B"/>
                <w:sz w:val="17"/>
                <w:szCs w:val="17"/>
                <w:lang w:eastAsia="ru-RU"/>
              </w:rPr>
              <w:t>20000</w:t>
            </w:r>
          </w:p>
        </w:tc>
      </w:tr>
    </w:tbl>
    <w:p w:rsidR="00C8146B" w:rsidRPr="00502254" w:rsidRDefault="00C8146B" w:rsidP="00502254">
      <w:bookmarkStart w:id="0" w:name="_GoBack"/>
      <w:bookmarkEnd w:id="0"/>
    </w:p>
    <w:sectPr w:rsidR="00C8146B" w:rsidRPr="0050225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0D44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838C-3357-4B13-83C5-41B083F4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285</cp:revision>
  <dcterms:created xsi:type="dcterms:W3CDTF">2018-06-09T10:16:00Z</dcterms:created>
  <dcterms:modified xsi:type="dcterms:W3CDTF">2018-12-11T12:12:00Z</dcterms:modified>
</cp:coreProperties>
</file>