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5" w:type="dxa"/>
        <w:shd w:val="clear" w:color="auto" w:fill="0027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272"/>
        <w:gridCol w:w="1267"/>
        <w:gridCol w:w="1189"/>
        <w:gridCol w:w="584"/>
        <w:gridCol w:w="510"/>
        <w:gridCol w:w="1295"/>
        <w:gridCol w:w="601"/>
        <w:gridCol w:w="527"/>
        <w:gridCol w:w="993"/>
        <w:gridCol w:w="977"/>
        <w:gridCol w:w="643"/>
        <w:gridCol w:w="463"/>
      </w:tblGrid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Марка нити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Номинальный диаметр элементарной нити, мкм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Количество сложений комплексной нити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Результи-рующая</w:t>
            </w:r>
            <w:proofErr w:type="spellEnd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 линейная плотность нити, текс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Массовая доля веществ, удаляемых при прокаливании,</w:t>
            </w:r>
          </w:p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%, не менее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Удельная разрывная нагрузка, мН/текс</w:t>
            </w:r>
          </w:p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(</w:t>
            </w:r>
            <w:proofErr w:type="spellStart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гс</w:t>
            </w:r>
            <w:proofErr w:type="spellEnd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/текс), не менее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Массовая доля влаги, %,</w:t>
            </w:r>
          </w:p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не более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Тип размотки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1153C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Характе-ристика</w:t>
            </w:r>
            <w:proofErr w:type="spellEnd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 замасли-</w:t>
            </w:r>
            <w:proofErr w:type="spellStart"/>
            <w:r w:rsidRPr="000A6BA7">
              <w:rPr>
                <w:rFonts w:ascii="inherit" w:eastAsia="Times New Roman" w:hAnsi="inherit" w:cs="Arial"/>
                <w:b/>
                <w:bCs/>
                <w:color w:val="FFFFFF"/>
                <w:sz w:val="18"/>
                <w:szCs w:val="18"/>
                <w:lang w:eastAsia="ru-RU"/>
              </w:rPr>
              <w:t>вателя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БС16</w:t>
            </w:r>
            <w:r w:rsidRPr="000A6BA7">
              <w:rPr>
                <w:rFonts w:ascii="inherit" w:eastAsia="Times New Roman" w:hAnsi="inherit" w:cs="Arial"/>
                <w:color w:val="0000CD"/>
                <w:sz w:val="18"/>
                <w:szCs w:val="18"/>
                <w:lang w:eastAsia="ru-RU"/>
              </w:rPr>
              <w:t>_</w:t>
            </w: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1200Н</w:t>
            </w:r>
            <w:r w:rsidRPr="000A6BA7">
              <w:rPr>
                <w:rFonts w:ascii="inherit" w:eastAsia="Times New Roman" w:hAnsi="inherit" w:cs="Arial"/>
                <w:color w:val="0000CD"/>
                <w:sz w:val="18"/>
                <w:szCs w:val="18"/>
                <w:lang w:eastAsia="ru-RU"/>
              </w:rPr>
              <w:t>_</w:t>
            </w: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76(200)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1200±5%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396 (40)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БС16</w:t>
            </w:r>
            <w:r w:rsidRPr="000A6BA7">
              <w:rPr>
                <w:rFonts w:ascii="inherit" w:eastAsia="Times New Roman" w:hAnsi="inherit" w:cs="Arial"/>
                <w:color w:val="0000CD"/>
                <w:sz w:val="18"/>
                <w:szCs w:val="18"/>
                <w:lang w:eastAsia="ru-RU"/>
              </w:rPr>
              <w:t>_</w:t>
            </w: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2400Н</w:t>
            </w:r>
            <w:r w:rsidRPr="000A6BA7">
              <w:rPr>
                <w:rFonts w:ascii="inherit" w:eastAsia="Times New Roman" w:hAnsi="inherit" w:cs="Arial"/>
                <w:color w:val="0000CD"/>
                <w:sz w:val="18"/>
                <w:szCs w:val="18"/>
                <w:lang w:eastAsia="ru-RU"/>
              </w:rPr>
              <w:t>_</w:t>
            </w: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76(200)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2400±5%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396 (40)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18"/>
                <w:szCs w:val="18"/>
                <w:lang w:eastAsia="ru-RU"/>
              </w:rPr>
              <w:t xml:space="preserve">Базальтовые </w:t>
            </w:r>
            <w:proofErr w:type="spellStart"/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18"/>
                <w:szCs w:val="18"/>
                <w:lang w:eastAsia="ru-RU"/>
              </w:rPr>
              <w:t>директ-ровинги</w:t>
            </w:r>
            <w:proofErr w:type="spellEnd"/>
          </w:p>
        </w:tc>
        <w:tc>
          <w:tcPr>
            <w:tcW w:w="0" w:type="auto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БС14 300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300±5%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460(47)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крахмально-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БС14 300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300±5%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520 (53)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БС16 400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450 (46)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крахмально-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БС16 200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200±5%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450 (46)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крахмально-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БС20 600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600±5%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450 (46)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крахмально-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c>
          <w:tcPr>
            <w:tcW w:w="1609" w:type="dxa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lastRenderedPageBreak/>
              <w:t>БС20 600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600±5%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450 (46)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изнутри</w:t>
            </w:r>
          </w:p>
        </w:tc>
        <w:tc>
          <w:tcPr>
            <w:tcW w:w="0" w:type="auto"/>
            <w:gridSpan w:val="2"/>
            <w:tcBorders>
              <w:top w:val="single" w:sz="12" w:space="0" w:color="072598"/>
              <w:left w:val="single" w:sz="12" w:space="0" w:color="072598"/>
              <w:bottom w:val="single" w:sz="12" w:space="0" w:color="072598"/>
              <w:right w:val="single" w:sz="12" w:space="0" w:color="072598"/>
            </w:tcBorders>
            <w:shd w:val="clear" w:color="auto" w:fill="0036A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A6BA7" w:rsidRPr="000A6BA7" w:rsidRDefault="000A6BA7" w:rsidP="000A6BA7">
            <w:pPr>
              <w:spacing w:after="150" w:line="288" w:lineRule="atLeast"/>
              <w:jc w:val="center"/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</w:pP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18"/>
                <w:szCs w:val="18"/>
                <w:lang w:eastAsia="ru-RU"/>
              </w:rPr>
              <w:t>силановый</w:t>
            </w:r>
            <w:proofErr w:type="spellEnd"/>
          </w:p>
        </w:tc>
      </w:tr>
      <w:tr w:rsidR="000A6BA7" w:rsidRPr="000A6BA7" w:rsidTr="000A6BA7">
        <w:trPr>
          <w:gridBefore w:val="1"/>
          <w:gridAfter w:val="1"/>
          <w:wBefore w:w="216" w:type="dxa"/>
        </w:trPr>
        <w:tc>
          <w:tcPr>
            <w:tcW w:w="42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  <w:tc>
          <w:tcPr>
            <w:tcW w:w="51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Type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vAlign w:val="center"/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BS</w:t>
            </w:r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20"/>
                <w:szCs w:val="20"/>
                <w:lang w:eastAsia="ru-RU"/>
              </w:rPr>
              <w:t>16 1200Н-76(200)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BS</w:t>
            </w:r>
            <w:r w:rsidRPr="000A6BA7">
              <w:rPr>
                <w:rFonts w:ascii="inherit" w:eastAsia="Times New Roman" w:hAnsi="inherit" w:cs="Arial"/>
                <w:b/>
                <w:bCs/>
                <w:color w:val="54B5FF"/>
                <w:sz w:val="20"/>
                <w:szCs w:val="20"/>
                <w:lang w:eastAsia="ru-RU"/>
              </w:rPr>
              <w:t>16 2400Н-76(200)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</w:trPr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Filament nominal diameter, 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mkm</w:t>
            </w:r>
            <w:proofErr w:type="spellEnd"/>
          </w:p>
        </w:tc>
        <w:tc>
          <w:tcPr>
            <w:tcW w:w="51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16±1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</w:trPr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Nominal linear density, 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tex</w:t>
            </w:r>
            <w:proofErr w:type="spellEnd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2400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</w:trPr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Tolerance in linear density</w:t>
            </w: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±5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±5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  <w:trHeight w:val="193"/>
        </w:trPr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val="en-US"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Tensile strength, not less than, 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mN</w:t>
            </w:r>
            <w:proofErr w:type="spellEnd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tex</w:t>
            </w:r>
            <w:proofErr w:type="spellEnd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 (gf/</w:t>
            </w:r>
            <w:proofErr w:type="spellStart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tex</w:t>
            </w:r>
            <w:proofErr w:type="spellEnd"/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396(40)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396(40)</w:t>
            </w:r>
          </w:p>
        </w:tc>
      </w:tr>
      <w:tr w:rsidR="000A6BA7" w:rsidRPr="000A6BA7" w:rsidTr="000A6BA7">
        <w:trPr>
          <w:gridBefore w:val="1"/>
          <w:gridAfter w:val="1"/>
          <w:wBefore w:w="216" w:type="dxa"/>
          <w:trHeight w:val="244"/>
        </w:trPr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0" w:line="240" w:lineRule="auto"/>
              <w:rPr>
                <w:rFonts w:ascii="inherit" w:eastAsia="Times New Roman" w:hAnsi="inherit" w:cs="Arial"/>
                <w:color w:val="54B5FF"/>
                <w:sz w:val="20"/>
                <w:szCs w:val="20"/>
                <w:lang w:val="en-US"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bdr w:val="none" w:sz="0" w:space="0" w:color="auto" w:frame="1"/>
                <w:lang w:val="en-US" w:eastAsia="ru-RU"/>
              </w:rPr>
              <w:t>Loss on ignition, %, not less than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7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BA7" w:rsidRPr="000A6BA7" w:rsidRDefault="000A6BA7" w:rsidP="000A6BA7">
            <w:pPr>
              <w:spacing w:after="150" w:line="240" w:lineRule="auto"/>
              <w:jc w:val="center"/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</w:pPr>
            <w:r w:rsidRPr="000A6BA7">
              <w:rPr>
                <w:rFonts w:ascii="inherit" w:eastAsia="Times New Roman" w:hAnsi="inherit" w:cs="Arial"/>
                <w:color w:val="54B5FF"/>
                <w:sz w:val="20"/>
                <w:szCs w:val="20"/>
                <w:lang w:eastAsia="ru-RU"/>
              </w:rPr>
              <w:t>0,6</w:t>
            </w:r>
          </w:p>
        </w:tc>
      </w:tr>
    </w:tbl>
    <w:p w:rsidR="000112A8" w:rsidRPr="000A6BA7" w:rsidRDefault="000112A8" w:rsidP="000A6BA7">
      <w:bookmarkStart w:id="0" w:name="_GoBack"/>
      <w:bookmarkEnd w:id="0"/>
    </w:p>
    <w:sectPr w:rsidR="000112A8" w:rsidRPr="000A6BA7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6CC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427F-C99D-44F7-8ACB-A11E8384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338</cp:revision>
  <dcterms:created xsi:type="dcterms:W3CDTF">2018-06-09T10:16:00Z</dcterms:created>
  <dcterms:modified xsi:type="dcterms:W3CDTF">2019-01-28T08:00:00Z</dcterms:modified>
</cp:coreProperties>
</file>