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8E" w:rsidRDefault="0012398E" w:rsidP="0012398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Максимальные концентрации примесей в исходной и очищенной воде указаны в таблице.</w:t>
      </w:r>
    </w:p>
    <w:p w:rsidR="0012398E" w:rsidRDefault="0012398E" w:rsidP="0012398E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ПАРАМЕТРЫ ОЧИСТКИ ВОДЫ УСТАНОВКОЙ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2768"/>
        <w:gridCol w:w="2957"/>
        <w:gridCol w:w="6462"/>
      </w:tblGrid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Показатели, 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Исходная вода,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Очищенная вода,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Максимальное значение по СанПиН 2.1.4.1074-01. Питьевая вода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Цветность, град.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Запах,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Привкус,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Мутность по каолину,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Железо общее,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Марганец,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Сульфиды (сероводород),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Окисляемость, мг О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2</w:t>
            </w:r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Аммоний,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жесткость, мг-экв/л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7,0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минерализация,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5 000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1 000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Нитраты,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Хлориды,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1 000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Сульфаты,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1 000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Фосфаты,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3,5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Микробиологические показатели: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бактерии (образующих и не образующих споры), м.т./л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  <w:tr w:rsidR="0012398E" w:rsidTr="001239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вирусы, БОЕ/л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98E" w:rsidRDefault="0012398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</w:tbl>
    <w:p w:rsidR="0012398E" w:rsidRDefault="0012398E" w:rsidP="0012398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Установка поставляется в полной заводской готовности, снабженная запасом расходных материалов для функционирования в течение 3-х месяцев.</w:t>
      </w:r>
    </w:p>
    <w:p w:rsidR="0012398E" w:rsidRDefault="0012398E" w:rsidP="0012398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При функционировании система расходует гипохлорит натрия, картриджи фильтров, антискалант и электроэнергию.</w:t>
      </w:r>
    </w:p>
    <w:p w:rsidR="0012398E" w:rsidRDefault="0012398E" w:rsidP="0012398E">
      <w:pPr>
        <w:pStyle w:val="a3"/>
        <w:spacing w:before="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Гипохлорит натрия используется в виде 5% раствора в воде (продается под торговой маркой «Белизна»). Картриджи фильтров требуют замены после обработки 10 м</w:t>
      </w:r>
      <w:r>
        <w:rPr>
          <w:rFonts w:ascii="Arial" w:hAnsi="Arial" w:cs="Arial"/>
          <w:color w:val="100954"/>
          <w:bdr w:val="none" w:sz="0" w:space="0" w:color="auto" w:frame="1"/>
          <w:vertAlign w:val="superscript"/>
        </w:rPr>
        <w:t>3</w:t>
      </w:r>
      <w:r>
        <w:rPr>
          <w:rFonts w:ascii="Arial" w:hAnsi="Arial" w:cs="Arial"/>
          <w:color w:val="100954"/>
        </w:rPr>
        <w:t> исходной воды. Непосредственно на очистку воды система потребляет до 4,5 кВт*ч на 1 м</w:t>
      </w:r>
      <w:r>
        <w:rPr>
          <w:rFonts w:ascii="Arial" w:hAnsi="Arial" w:cs="Arial"/>
          <w:color w:val="100954"/>
          <w:bdr w:val="none" w:sz="0" w:space="0" w:color="auto" w:frame="1"/>
          <w:vertAlign w:val="superscript"/>
        </w:rPr>
        <w:t>3</w:t>
      </w:r>
      <w:r>
        <w:rPr>
          <w:rFonts w:ascii="Arial" w:hAnsi="Arial" w:cs="Arial"/>
          <w:color w:val="100954"/>
        </w:rPr>
        <w:t> очищенной воды.</w:t>
      </w:r>
    </w:p>
    <w:p w:rsidR="0012398E" w:rsidRDefault="0012398E" w:rsidP="0012398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Дренажные воды установки нетоксичны и их сброс на рельеф и в естественные водоёмы допустим без дополнительной очистки.</w:t>
      </w:r>
    </w:p>
    <w:p w:rsidR="0012398E" w:rsidRDefault="0012398E" w:rsidP="0012398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Установка полностью автоматизирована и не требует контроля со стороны пользователя.</w:t>
      </w:r>
    </w:p>
    <w:p w:rsidR="008D7BD3" w:rsidRPr="002663EE" w:rsidRDefault="008D7BD3" w:rsidP="00206264">
      <w:bookmarkStart w:id="0" w:name="_GoBack"/>
      <w:bookmarkEnd w:id="0"/>
    </w:p>
    <w:sectPr w:rsidR="008D7BD3" w:rsidRPr="002663EE" w:rsidSect="001F2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90E79"/>
    <w:rsid w:val="0012398E"/>
    <w:rsid w:val="001F2DFF"/>
    <w:rsid w:val="00206264"/>
    <w:rsid w:val="002663EE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14</cp:revision>
  <dcterms:created xsi:type="dcterms:W3CDTF">2019-11-25T06:48:00Z</dcterms:created>
  <dcterms:modified xsi:type="dcterms:W3CDTF">2020-02-07T04:28:00Z</dcterms:modified>
</cp:coreProperties>
</file>