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2" w:rsidRDefault="00074842" w:rsidP="00074842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Максимальные концентрации примесей в исходной и очищенной воде указаны в таблице.</w:t>
      </w:r>
    </w:p>
    <w:p w:rsidR="00074842" w:rsidRDefault="00074842" w:rsidP="00074842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УСТАНОВКОЙ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417"/>
        <w:gridCol w:w="2271"/>
        <w:gridCol w:w="11555"/>
      </w:tblGrid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вода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 по каолину,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10,0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 (сероводород),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0,03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жесткость, мг-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экв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1,5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7,0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Общая минерализация,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6 000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1 000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Нитраты,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0,8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Хлориды,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Сульфаты,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800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Фосфаты, мг/л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3,5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Микробиологические 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показатели: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 xml:space="preserve">бактерии (образующих и не образующих споры),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м.т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1∙10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  <w:tr w:rsidR="00074842" w:rsidTr="00074842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вирусы,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БОЕ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1∙10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  <w:tc>
          <w:tcPr>
            <w:tcW w:w="1155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4842" w:rsidRDefault="00074842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</w:t>
            </w:r>
          </w:p>
        </w:tc>
      </w:tr>
    </w:tbl>
    <w:p w:rsidR="00074842" w:rsidRDefault="00074842" w:rsidP="00074842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поставляется в полной заводской готовности.</w:t>
      </w:r>
    </w:p>
    <w:p w:rsidR="00074842" w:rsidRDefault="00074842" w:rsidP="00074842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 xml:space="preserve">При функционировании Установка расходует гипохлорит натрия, </w:t>
      </w:r>
      <w:proofErr w:type="spellStart"/>
      <w:r>
        <w:rPr>
          <w:rFonts w:ascii="Arial" w:hAnsi="Arial" w:cs="Arial"/>
          <w:color w:val="100954"/>
        </w:rPr>
        <w:t>антискалант</w:t>
      </w:r>
      <w:proofErr w:type="spellEnd"/>
      <w:r>
        <w:rPr>
          <w:rFonts w:ascii="Arial" w:hAnsi="Arial" w:cs="Arial"/>
          <w:color w:val="100954"/>
        </w:rPr>
        <w:t>, картриджи фильтров и электроэнергию.</w:t>
      </w:r>
    </w:p>
    <w:p w:rsidR="00074842" w:rsidRDefault="00074842" w:rsidP="00074842">
      <w:pPr>
        <w:pStyle w:val="a3"/>
        <w:spacing w:before="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Удельный расход электроэнергии до 0,93 кВт*</w:t>
      </w:r>
      <w:proofErr w:type="gramStart"/>
      <w:r>
        <w:rPr>
          <w:rFonts w:ascii="Arial" w:hAnsi="Arial" w:cs="Arial"/>
          <w:color w:val="100954"/>
        </w:rPr>
        <w:t>ч</w:t>
      </w:r>
      <w:proofErr w:type="gramEnd"/>
      <w:r>
        <w:rPr>
          <w:rFonts w:ascii="Arial" w:hAnsi="Arial" w:cs="Arial"/>
          <w:color w:val="100954"/>
        </w:rPr>
        <w:t xml:space="preserve"> на 1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очищенной воды.</w:t>
      </w:r>
    </w:p>
    <w:p w:rsidR="00074842" w:rsidRDefault="00074842" w:rsidP="00074842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Дренажные воды системы нетоксичны и их сброс на рельеф и в естественные водоёмы допустим без дополнительной очистки.</w:t>
      </w:r>
    </w:p>
    <w:p w:rsidR="00074842" w:rsidRDefault="00074842" w:rsidP="00074842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Установка полностью автоматизирована и не требует контроля со стороны пользователя.</w:t>
      </w:r>
    </w:p>
    <w:p w:rsidR="008D7BD3" w:rsidRPr="002663EE" w:rsidRDefault="008D7BD3" w:rsidP="00206264"/>
    <w:sectPr w:rsidR="008D7BD3" w:rsidRPr="002663EE" w:rsidSect="001F2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2742B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16</cp:revision>
  <dcterms:created xsi:type="dcterms:W3CDTF">2019-11-25T06:48:00Z</dcterms:created>
  <dcterms:modified xsi:type="dcterms:W3CDTF">2020-02-07T04:42:00Z</dcterms:modified>
</cp:coreProperties>
</file>