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606"/>
        <w:gridCol w:w="1185"/>
        <w:gridCol w:w="1185"/>
        <w:gridCol w:w="1130"/>
        <w:gridCol w:w="1130"/>
        <w:gridCol w:w="1130"/>
        <w:gridCol w:w="1130"/>
        <w:gridCol w:w="1130"/>
        <w:gridCol w:w="1130"/>
        <w:gridCol w:w="793"/>
      </w:tblGrid>
      <w:tr w:rsidR="005B1DE2" w:rsidTr="005B1DE2">
        <w:trPr>
          <w:gridAfter w:val="1"/>
          <w:tblHeader/>
        </w:trPr>
        <w:tc>
          <w:tcPr>
            <w:tcW w:w="0" w:type="auto"/>
            <w:vMerge w:val="restart"/>
            <w:shd w:val="clear" w:color="auto" w:fill="1A263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br/>
              <w:t>кол-во листов в 1 м3</w:t>
            </w:r>
          </w:p>
        </w:tc>
        <w:tc>
          <w:tcPr>
            <w:tcW w:w="0" w:type="auto"/>
            <w:gridSpan w:val="9"/>
            <w:shd w:val="clear" w:color="auto" w:fill="1A263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Сорт</w:t>
            </w:r>
          </w:p>
        </w:tc>
      </w:tr>
      <w:tr w:rsidR="005B1DE2" w:rsidTr="005B1DE2">
        <w:trPr>
          <w:gridAfter w:val="1"/>
          <w:tblHeader/>
        </w:trPr>
        <w:tc>
          <w:tcPr>
            <w:tcW w:w="0" w:type="auto"/>
            <w:vMerge/>
            <w:vAlign w:val="center"/>
            <w:hideMark/>
          </w:tcPr>
          <w:p w:rsidR="005B1DE2" w:rsidRDefault="005B1DE2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1A263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Н/К</w:t>
            </w:r>
          </w:p>
        </w:tc>
        <w:tc>
          <w:tcPr>
            <w:tcW w:w="0" w:type="auto"/>
            <w:shd w:val="clear" w:color="auto" w:fill="1A263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4/4 НШ</w:t>
            </w:r>
          </w:p>
        </w:tc>
        <w:tc>
          <w:tcPr>
            <w:tcW w:w="0" w:type="auto"/>
            <w:shd w:val="clear" w:color="auto" w:fill="1A263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3/4 НШ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3/4 Ш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3/3 Ш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2/4 Ш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2/3 Ш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2/2 Ш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1/2 Ш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</w:rPr>
              <w:t>2</w:t>
            </w:r>
            <w:proofErr w:type="gramEnd"/>
          </w:p>
        </w:tc>
      </w:tr>
      <w:tr w:rsidR="005B1DE2" w:rsidTr="005B1DE2"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фанера 2,4 мм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180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</w:p>
        </w:tc>
      </w:tr>
      <w:tr w:rsidR="005B1DE2" w:rsidTr="005B1DE2"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Фанера 2,7 мм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160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</w:p>
        </w:tc>
      </w:tr>
      <w:tr w:rsidR="005B1DE2" w:rsidTr="005B1DE2"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Фанера </w:t>
            </w:r>
            <w:r>
              <w:rPr>
                <w:rFonts w:ascii="Arial" w:hAnsi="Arial" w:cs="Arial"/>
                <w:color w:val="1A2634"/>
              </w:rPr>
              <w:br/>
              <w:t>3 мм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144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392</w:t>
            </w:r>
          </w:p>
        </w:tc>
      </w:tr>
      <w:tr w:rsidR="005B1DE2" w:rsidTr="005B1DE2"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Фанера </w:t>
            </w:r>
            <w:r>
              <w:rPr>
                <w:rFonts w:ascii="Arial" w:hAnsi="Arial" w:cs="Arial"/>
                <w:color w:val="1A2634"/>
              </w:rPr>
              <w:br/>
              <w:t>4 мм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108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331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521</w:t>
            </w:r>
          </w:p>
        </w:tc>
      </w:tr>
      <w:tr w:rsidR="005B1DE2" w:rsidTr="005B1DE2"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Фанера </w:t>
            </w:r>
            <w:r>
              <w:rPr>
                <w:rFonts w:ascii="Arial" w:hAnsi="Arial" w:cs="Arial"/>
                <w:color w:val="1A2634"/>
              </w:rPr>
              <w:br/>
              <w:t>6 мм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72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448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486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635</w:t>
            </w:r>
          </w:p>
        </w:tc>
      </w:tr>
      <w:tr w:rsidR="005B1DE2" w:rsidTr="005B1DE2"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Фанера </w:t>
            </w:r>
            <w:r>
              <w:rPr>
                <w:rFonts w:ascii="Arial" w:hAnsi="Arial" w:cs="Arial"/>
                <w:color w:val="1A2634"/>
              </w:rPr>
              <w:br/>
              <w:t>8 мм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54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431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451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465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502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556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637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834</w:t>
            </w:r>
          </w:p>
        </w:tc>
      </w:tr>
      <w:tr w:rsidR="005B1DE2" w:rsidTr="005B1DE2"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Фанера </w:t>
            </w:r>
            <w:r>
              <w:rPr>
                <w:rFonts w:ascii="Arial" w:hAnsi="Arial" w:cs="Arial"/>
                <w:color w:val="1A2634"/>
              </w:rPr>
              <w:br/>
              <w:t>9 мм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48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438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457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477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488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527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890</w:t>
            </w:r>
          </w:p>
        </w:tc>
      </w:tr>
      <w:tr w:rsidR="005B1DE2" w:rsidTr="005B1DE2"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Фанера 10 мм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43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406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533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545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589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647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759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993</w:t>
            </w:r>
          </w:p>
        </w:tc>
      </w:tr>
      <w:tr w:rsidR="005B1DE2" w:rsidTr="005B1DE2"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Фанера 12 мм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36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465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561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629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649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672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759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891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1118</w:t>
            </w:r>
          </w:p>
        </w:tc>
      </w:tr>
      <w:tr w:rsidR="005B1DE2" w:rsidTr="005B1DE2"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Фанера 15 мм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577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696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781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806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834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942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1105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1388</w:t>
            </w:r>
          </w:p>
        </w:tc>
      </w:tr>
      <w:tr w:rsidR="005B1DE2" w:rsidTr="005B1DE2"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Фанера 18 мм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690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832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891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932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964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1004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1048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1236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1552</w:t>
            </w:r>
          </w:p>
        </w:tc>
      </w:tr>
      <w:tr w:rsidR="005B1DE2" w:rsidTr="005B1DE2"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Фанера 20 мм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788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951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1019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1065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1102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1147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1197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1413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1773</w:t>
            </w:r>
          </w:p>
        </w:tc>
      </w:tr>
      <w:tr w:rsidR="005B1DE2" w:rsidTr="005B1DE2"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Фанера 21 мм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788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951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1019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1065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1102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1147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1197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1413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1773</w:t>
            </w:r>
          </w:p>
        </w:tc>
      </w:tr>
      <w:tr w:rsidR="005B1DE2" w:rsidTr="005B1DE2"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Фанера 24 мм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919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1109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1189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1242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1288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1338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1648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2017</w:t>
            </w:r>
          </w:p>
        </w:tc>
      </w:tr>
      <w:tr w:rsidR="005B1DE2" w:rsidTr="005B1DE2"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Фанера 30 мм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1182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1426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1528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1597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1653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1721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1796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2119</w:t>
            </w:r>
          </w:p>
        </w:tc>
        <w:tc>
          <w:tcPr>
            <w:tcW w:w="0" w:type="auto"/>
            <w:vAlign w:val="center"/>
            <w:hideMark/>
          </w:tcPr>
          <w:p w:rsidR="005B1DE2" w:rsidRDefault="005B1DE2">
            <w:pPr>
              <w:jc w:val="center"/>
              <w:rPr>
                <w:rFonts w:ascii="Arial" w:hAnsi="Arial" w:cs="Arial"/>
                <w:color w:val="1A2634"/>
                <w:sz w:val="24"/>
                <w:szCs w:val="24"/>
              </w:rPr>
            </w:pPr>
            <w:r>
              <w:rPr>
                <w:rFonts w:ascii="Arial" w:hAnsi="Arial" w:cs="Arial"/>
                <w:color w:val="1A2634"/>
              </w:rPr>
              <w:t>2660</w:t>
            </w:r>
          </w:p>
        </w:tc>
      </w:tr>
    </w:tbl>
    <w:p w:rsidR="005B1DE2" w:rsidRDefault="005B1DE2" w:rsidP="005B1DE2">
      <w:pPr>
        <w:pStyle w:val="4"/>
        <w:rPr>
          <w:rFonts w:ascii="Arial" w:hAnsi="Arial" w:cs="Arial"/>
          <w:caps/>
          <w:color w:val="1A2634"/>
          <w:spacing w:val="12"/>
        </w:rPr>
      </w:pPr>
    </w:p>
    <w:p w:rsidR="00344626" w:rsidRPr="000F42BD" w:rsidRDefault="00344626" w:rsidP="000F42BD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44626" w:rsidRPr="000F42BD" w:rsidSect="005B1DE2">
      <w:pgSz w:w="16838" w:h="11906" w:orient="landscape"/>
      <w:pgMar w:top="340" w:right="249" w:bottom="340" w:left="23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54139"/>
    <w:multiLevelType w:val="multilevel"/>
    <w:tmpl w:val="D46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9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20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8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5C84"/>
    <w:rsid w:val="000577B2"/>
    <w:rsid w:val="000605D5"/>
    <w:rsid w:val="00064BF9"/>
    <w:rsid w:val="000725B5"/>
    <w:rsid w:val="00074E69"/>
    <w:rsid w:val="00080A0A"/>
    <w:rsid w:val="00081A67"/>
    <w:rsid w:val="00087F75"/>
    <w:rsid w:val="0009174B"/>
    <w:rsid w:val="0009731B"/>
    <w:rsid w:val="00097CE7"/>
    <w:rsid w:val="000A1453"/>
    <w:rsid w:val="000A6BA7"/>
    <w:rsid w:val="000B1DCC"/>
    <w:rsid w:val="000B32E3"/>
    <w:rsid w:val="000D241F"/>
    <w:rsid w:val="000E4C52"/>
    <w:rsid w:val="000F0250"/>
    <w:rsid w:val="000F095D"/>
    <w:rsid w:val="000F0CCF"/>
    <w:rsid w:val="000F42B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58A4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21C3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B0441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44626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0EE6"/>
    <w:rsid w:val="00412D59"/>
    <w:rsid w:val="00414A5E"/>
    <w:rsid w:val="00415CE1"/>
    <w:rsid w:val="0043031A"/>
    <w:rsid w:val="0044351F"/>
    <w:rsid w:val="00452231"/>
    <w:rsid w:val="004525E3"/>
    <w:rsid w:val="0047249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1DE2"/>
    <w:rsid w:val="005B35D4"/>
    <w:rsid w:val="005B5312"/>
    <w:rsid w:val="005C10DE"/>
    <w:rsid w:val="005C2A52"/>
    <w:rsid w:val="005C56D3"/>
    <w:rsid w:val="005D1BD7"/>
    <w:rsid w:val="005F2717"/>
    <w:rsid w:val="005F4EE6"/>
    <w:rsid w:val="006023CF"/>
    <w:rsid w:val="006105D6"/>
    <w:rsid w:val="006215D0"/>
    <w:rsid w:val="00622AE3"/>
    <w:rsid w:val="00634AAA"/>
    <w:rsid w:val="0064775A"/>
    <w:rsid w:val="0067167C"/>
    <w:rsid w:val="00692E0A"/>
    <w:rsid w:val="00695FB4"/>
    <w:rsid w:val="006A205C"/>
    <w:rsid w:val="006C0EFD"/>
    <w:rsid w:val="006C76CA"/>
    <w:rsid w:val="006D492F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D22ED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37421"/>
    <w:rsid w:val="00A4260D"/>
    <w:rsid w:val="00A62647"/>
    <w:rsid w:val="00A66C3E"/>
    <w:rsid w:val="00A74EE4"/>
    <w:rsid w:val="00A81C97"/>
    <w:rsid w:val="00A865D8"/>
    <w:rsid w:val="00A865FC"/>
    <w:rsid w:val="00AB0F75"/>
    <w:rsid w:val="00AB3A60"/>
    <w:rsid w:val="00AB6442"/>
    <w:rsid w:val="00AD1B89"/>
    <w:rsid w:val="00AD5184"/>
    <w:rsid w:val="00AF113A"/>
    <w:rsid w:val="00B01AB6"/>
    <w:rsid w:val="00B033D1"/>
    <w:rsid w:val="00B10F28"/>
    <w:rsid w:val="00B3073B"/>
    <w:rsid w:val="00B3340D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6DFA"/>
    <w:rsid w:val="00BB78D0"/>
    <w:rsid w:val="00BC0A0E"/>
    <w:rsid w:val="00BC6ECF"/>
    <w:rsid w:val="00BC7194"/>
    <w:rsid w:val="00BD2937"/>
    <w:rsid w:val="00BF255C"/>
    <w:rsid w:val="00BF74A9"/>
    <w:rsid w:val="00C012B6"/>
    <w:rsid w:val="00C01B1F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4262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02B"/>
    <w:rsid w:val="00F23416"/>
    <w:rsid w:val="00F31D68"/>
    <w:rsid w:val="00F43B88"/>
    <w:rsid w:val="00F47BCE"/>
    <w:rsid w:val="00F51379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B33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340D"/>
    <w:pPr>
      <w:widowControl w:val="0"/>
      <w:shd w:val="clear" w:color="auto" w:fill="FFFFFF"/>
      <w:spacing w:before="300" w:after="0" w:line="49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B33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340D"/>
    <w:pPr>
      <w:widowControl w:val="0"/>
      <w:shd w:val="clear" w:color="auto" w:fill="FFFFFF"/>
      <w:spacing w:before="300" w:after="0" w:line="49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010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781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8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7070F-EB69-47BE-BB77-59040570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9</cp:revision>
  <dcterms:created xsi:type="dcterms:W3CDTF">2020-03-10T14:30:00Z</dcterms:created>
  <dcterms:modified xsi:type="dcterms:W3CDTF">2020-03-30T12:55:00Z</dcterms:modified>
</cp:coreProperties>
</file>