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5985"/>
      </w:tblGrid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Содержание пакета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Приложение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Анализ взаимодействия LMW, Фрагмент скрининг, Кинетическая /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афинная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  характеристика, Кинетическое /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афинное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сродство и </w:t>
            </w:r>
            <w:proofErr w:type="gram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профилирование</w:t>
            </w:r>
            <w:proofErr w:type="gram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и термодинамические характеристики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Включает в себя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Biacore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S200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Блок обработки, контроля и оценки программного обеспечения, пособия в электронном формате. Компьютер, экран и клавиатура заказывается отдельно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Технология обнаружения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Поверхностного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плазмонного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резонанса (SPR) биосенсора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Тип образца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Высокомолекулярных белки (также ДНК, РНК, полисахариды, липиды, клеток и вирусов), в образцах различных сред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Обнаружение молекулярного веса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Нет лимита для органических молекул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Постоянная скорость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Белки: 103 до 3 × 109 М-1с-1</w:t>
            </w: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br/>
              <w:t>Молекулы НМ: 103 до 5 × 107 М-1с-1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lastRenderedPageBreak/>
              <w:t>Время анализа за цикл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Обычно от 2 до 15 мин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Вместимость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1 х 96 или 384 </w:t>
            </w:r>
            <w:proofErr w:type="gram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луночный</w:t>
            </w:r>
            <w:proofErr w:type="gram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микропланшет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+ до 33 флаконов с реагентами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Автоматизация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48 ч работы без присмотра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Объем впрыска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2-350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Минимальный объем образца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Объем впрыска + 20 до 50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(зависит от приложения)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Анализ темп.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4 - 45</w:t>
            </w:r>
            <w:proofErr w:type="gram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° С</w:t>
            </w:r>
            <w:proofErr w:type="gram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(не более 20 ° С ниже температуры окружающей среды)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Базовые погрешности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Обычно &lt;0,0015 RU (RMS)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Базовое смещение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Обычно &lt;0,3 RU / мин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Индекс преломления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1.33-1.4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Количество элементов потока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lastRenderedPageBreak/>
              <w:t>Пятна обнаружения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0.06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Расход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1-100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/ мин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Минимальная концентрация образца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≥ 1 </w:t>
            </w:r>
            <w:proofErr w:type="spell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пикомолярных</w:t>
            </w:r>
            <w:proofErr w:type="spell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(PM)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Выбор буфера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Автоматическое переключение между 4 буферами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Ширина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615 мм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Высота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690 мм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Глубина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600 мм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Вес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60кг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Напряжение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100-120</w:t>
            </w:r>
            <w:proofErr w:type="gram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; 220-240 В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Потребляемая мощность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Start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(при 100 В переменного тока)</w:t>
            </w:r>
          </w:p>
        </w:tc>
      </w:tr>
      <w:tr w:rsidR="002B2B1F" w:rsidRPr="002B2B1F" w:rsidTr="002B2B1F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lastRenderedPageBreak/>
              <w:t>Сетевое требование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2B1F" w:rsidRPr="002B2B1F" w:rsidRDefault="002B2B1F" w:rsidP="002B2B1F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2B2B1F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AUTORANGE от 100 до 240 (± 10%), от 50 до 60 Гц, класс 1 оборудование [защитное заземление]</w:t>
            </w:r>
          </w:p>
        </w:tc>
      </w:tr>
    </w:tbl>
    <w:p w:rsidR="00570975" w:rsidRDefault="00570975" w:rsidP="00570975">
      <w:pPr>
        <w:jc w:val="center"/>
      </w:pPr>
      <w:bookmarkStart w:id="0" w:name="_GoBack"/>
      <w:bookmarkEnd w:id="0"/>
      <w:r>
        <w:lastRenderedPageBreak/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1364595" cy="6345555"/>
            <wp:effectExtent l="0" t="0" r="8255" b="0"/>
            <wp:docPr id="13" name="Рисунок 13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595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lastRenderedPageBreak/>
        <w:t>а)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51595" cy="6572885"/>
            <wp:effectExtent l="0" t="0" r="1905" b="0"/>
            <wp:docPr id="12" name="Рисунок 12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595" cy="657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lastRenderedPageBreak/>
        <w:t>б)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801600" cy="4633595"/>
            <wp:effectExtent l="0" t="0" r="0" b="0"/>
            <wp:docPr id="11" name="Рисунок 11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в)</w:t>
      </w:r>
    </w:p>
    <w:p w:rsidR="00570975" w:rsidRDefault="00570975" w:rsidP="00570975">
      <w:r>
        <w:t xml:space="preserve">Многоэлектродные системы для абляции: а-для </w:t>
      </w:r>
      <w:proofErr w:type="spellStart"/>
      <w:r>
        <w:t>чрезкожных</w:t>
      </w:r>
      <w:proofErr w:type="spellEnd"/>
      <w:r>
        <w:t xml:space="preserve"> операций, б-для открытых операций, </w:t>
      </w:r>
      <w:proofErr w:type="gramStart"/>
      <w:r>
        <w:t>в-</w:t>
      </w:r>
      <w:proofErr w:type="gramEnd"/>
      <w:r>
        <w:t xml:space="preserve"> для </w:t>
      </w:r>
      <w:proofErr w:type="spellStart"/>
      <w:r>
        <w:t>лапороскопических</w:t>
      </w:r>
      <w:proofErr w:type="spellEnd"/>
      <w:r>
        <w:t xml:space="preserve"> операций.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Помимо абляции установка может быть использована для коагуляции и резекции при хирургических операциях.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Автоматический режим используется для абляции раковых опухолей различных локализаций с применением игольчатых электродов. Электроды для абляции позволяют измерять температуру в месте введения с помощью встроенных термопар. Температуры от электродов фиксируются на передней панели блока управления и параллельно в цифровом и графическом виде на мониторе компьютера, который может быть подключён к установке.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автоматическом режиме блок управления постоянно контролирует импеданс и температуру в месте введения электродов без вмешательства хирурга.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 ручном режиме работы можно проводить резекцию в </w:t>
      </w:r>
      <w:proofErr w:type="spellStart"/>
      <w:r>
        <w:rPr>
          <w:rFonts w:ascii="Helvetica" w:hAnsi="Helvetica" w:cs="Helvetica"/>
          <w:color w:val="000000"/>
        </w:rPr>
        <w:t>монополярном</w:t>
      </w:r>
      <w:proofErr w:type="spellEnd"/>
      <w:r>
        <w:rPr>
          <w:rFonts w:ascii="Helvetica" w:hAnsi="Helvetica" w:cs="Helvetica"/>
          <w:color w:val="000000"/>
        </w:rPr>
        <w:t xml:space="preserve"> режиме и коагуляцию ткани в </w:t>
      </w:r>
      <w:proofErr w:type="spellStart"/>
      <w:r>
        <w:rPr>
          <w:rFonts w:ascii="Helvetica" w:hAnsi="Helvetica" w:cs="Helvetica"/>
          <w:color w:val="000000"/>
        </w:rPr>
        <w:t>монополярном</w:t>
      </w:r>
      <w:proofErr w:type="spellEnd"/>
      <w:r>
        <w:rPr>
          <w:rFonts w:ascii="Helvetica" w:hAnsi="Helvetica" w:cs="Helvetica"/>
          <w:color w:val="000000"/>
        </w:rPr>
        <w:t xml:space="preserve"> и биполярном режимах с использованием различных электрохирургических электродов и инструментов: петля, электрод-шар, зажимы-</w:t>
      </w:r>
      <w:proofErr w:type="spellStart"/>
      <w:r>
        <w:rPr>
          <w:rFonts w:ascii="Helvetica" w:hAnsi="Helvetica" w:cs="Helvetica"/>
          <w:color w:val="000000"/>
        </w:rPr>
        <w:t>абляторы</w:t>
      </w:r>
      <w:proofErr w:type="spellEnd"/>
      <w:r>
        <w:rPr>
          <w:rFonts w:ascii="Helvetica" w:hAnsi="Helvetica" w:cs="Helvetica"/>
          <w:color w:val="000000"/>
        </w:rPr>
        <w:t xml:space="preserve"> и др.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Установка позволяет подключить от 1 до 8 одиночных электрода в </w:t>
      </w:r>
      <w:proofErr w:type="spellStart"/>
      <w:r>
        <w:rPr>
          <w:rFonts w:ascii="Helvetica" w:hAnsi="Helvetica" w:cs="Helvetica"/>
          <w:color w:val="000000"/>
        </w:rPr>
        <w:t>монополярном</w:t>
      </w:r>
      <w:proofErr w:type="spellEnd"/>
      <w:r>
        <w:rPr>
          <w:rFonts w:ascii="Helvetica" w:hAnsi="Helvetica" w:cs="Helvetica"/>
          <w:color w:val="000000"/>
        </w:rPr>
        <w:t xml:space="preserve"> режиме или две пары биполярных электродов.</w:t>
      </w:r>
    </w:p>
    <w:p w:rsidR="00570975" w:rsidRDefault="00570975" w:rsidP="00570975">
      <w:pPr>
        <w:pStyle w:val="4"/>
        <w:shd w:val="clear" w:color="auto" w:fill="FFFFFF"/>
        <w:spacing w:before="150" w:after="150"/>
        <w:rPr>
          <w:rFonts w:ascii="Helvetica" w:hAnsi="Helvetica" w:cs="Helvetica"/>
          <w:b w:val="0"/>
          <w:bCs w:val="0"/>
          <w:color w:val="000000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>Технические характеристики установки:</w:t>
      </w:r>
    </w:p>
    <w:p w:rsidR="00570975" w:rsidRDefault="00570975" w:rsidP="005709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инфузионного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типа (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saline-enhanced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).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0316"/>
        <w:gridCol w:w="6298"/>
      </w:tblGrid>
      <w:tr w:rsidR="00570975" w:rsidTr="0057097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Значения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Тип прибора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BF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Класс потенциального риска в соответствии с классификацией ГОСТ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Р</w:t>
            </w:r>
            <w:proofErr w:type="gramEnd"/>
            <w:r>
              <w:rPr>
                <w:rFonts w:ascii="Helvetica" w:hAnsi="Helvetica" w:cs="Helvetica"/>
                <w:color w:val="000000"/>
              </w:rPr>
              <w:t xml:space="preserve"> 51609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2б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Параметры электропитания:- Напряжение сети,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В-</w:t>
            </w:r>
            <w:proofErr w:type="gramEnd"/>
            <w:r>
              <w:rPr>
                <w:rFonts w:ascii="Helvetica" w:hAnsi="Helvetica" w:cs="Helvetica"/>
                <w:color w:val="000000"/>
              </w:rPr>
              <w:t xml:space="preserve"> Переменный ток, частота (Гц),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220 ± 10%50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Максимальная потребляемая мощность установки, 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330, не более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Рабочая частота, кГц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440 ± 10 %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Количество режимов работы – 5: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000000"/>
              </w:rPr>
              <w:t>Монополярная</w:t>
            </w:r>
            <w:proofErr w:type="spellEnd"/>
            <w:r>
              <w:rPr>
                <w:rFonts w:ascii="Helvetica" w:hAnsi="Helvetica" w:cs="Helvetica"/>
                <w:color w:val="000000"/>
              </w:rPr>
              <w:t xml:space="preserve"> и биполярная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абляция</w:t>
            </w:r>
            <w:proofErr w:type="gramEnd"/>
            <w:r>
              <w:rPr>
                <w:rFonts w:ascii="Helvetica" w:hAnsi="Helvetica" w:cs="Helvetica"/>
                <w:color w:val="000000"/>
              </w:rPr>
              <w:t xml:space="preserve"> и коагуляция,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монополярная</w:t>
            </w:r>
            <w:proofErr w:type="spellEnd"/>
            <w:r>
              <w:rPr>
                <w:rFonts w:ascii="Helvetica" w:hAnsi="Helvetica" w:cs="Helvetica"/>
                <w:color w:val="000000"/>
              </w:rPr>
              <w:t xml:space="preserve"> резекция;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Номинальная мощность в 1 канале,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50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Коагуляция пункционного канала в режиме абляция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Изменения температуры в режиме абляция выводятся на цифровые табло блока управления и на монитор компьютера в графиков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Диапазон непрерывного измерения импеданса, 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от 10 до 500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Количество программ абляции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6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Автоматическое поддержание температуры на рабочих электродах в режиме абляции в соответствии с выбранной программой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Возможность использования двух типов игольчатых электродов в режиме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абляции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:с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</w:rPr>
              <w:t xml:space="preserve"> внутренним </w:t>
            </w:r>
            <w:r>
              <w:rPr>
                <w:rFonts w:ascii="Helvetica" w:hAnsi="Helvetica" w:cs="Helvetica"/>
                <w:color w:val="000000"/>
              </w:rPr>
              <w:lastRenderedPageBreak/>
              <w:t>охлаждением (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cooled-tip</w:t>
            </w:r>
            <w:proofErr w:type="spellEnd"/>
            <w:r>
              <w:rPr>
                <w:rFonts w:ascii="Helvetica" w:hAnsi="Helvetica" w:cs="Helvetic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Возможность использования электрода-термодатчика для контроля температуры на периферии опухоли в режиме абляции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Световая и звуковая индикация при подаче мощности на игольчатые электроды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Световая и звуковая сигнализация при нарушении электрической цепи нейтрального электрода и при появлении токов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уте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td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</w:rPr>
              <w:t>&gt;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Регулировка уровня громкости звуковых сигналов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Возможность подключения блока управления к компьютеру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</w:tbl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Четырёхканальная установка для абляции опухолей «</w:t>
      </w:r>
      <w:r>
        <w:rPr>
          <w:rStyle w:val="notranslate"/>
          <w:rFonts w:ascii="Helvetica" w:hAnsi="Helvetica" w:cs="Helvetica"/>
          <w:color w:val="000000"/>
        </w:rPr>
        <w:t>МЕТАТОМ</w:t>
      </w:r>
      <w:r>
        <w:rPr>
          <w:rFonts w:ascii="Helvetica" w:hAnsi="Helvetica" w:cs="Helvetica"/>
          <w:color w:val="000000"/>
        </w:rPr>
        <w:t>-3» даёт возможность подключать к генератору от 1 до 12 электродов с термопарами и управлять их температурой, задавая предварительно тот или иной профиль изменения температуры во времени. Поддержание заданной температуры на электродах программным способом позволяет отказаться от их искусственного охлаждения и упростить конструкцию установки, исключив насосы и системы охлаждения. Установка позволяет проводить непрерывный контроль температуры нагрева в 4-х точках и выводить показания в цифровой форме на экраны блока управления с помощью компьютера, подключаемого к установке. Дополнительной опцией новой установки является также возможность работы с электрохирургическими инструментами для коагуляции и резекции тканей. Для этого генератор установки имеет дополнительные каналы для подключения электрохирургических инструментов. Возможные варианты введения электродов в опухоль показаны ниже.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lastRenderedPageBreak/>
        <w:t>[PDF] </w:t>
      </w:r>
      <w:hyperlink r:id="rId10" w:history="1">
        <w:r>
          <w:rPr>
            <w:rStyle w:val="a9"/>
            <w:rFonts w:ascii="Helvetica" w:hAnsi="Helvetica" w:cs="Helvetica"/>
            <w:b/>
            <w:bCs/>
            <w:color w:val="337AB7"/>
          </w:rPr>
          <w:t>Сравнительные характеристики отечественных и зарубежных установок с многоэлектродными системами доступны по этой ссылке</w:t>
        </w:r>
      </w:hyperlink>
      <w:r>
        <w:rPr>
          <w:rFonts w:ascii="Helvetica" w:hAnsi="Helvetica" w:cs="Helvetica"/>
          <w:color w:val="000000"/>
        </w:rPr>
        <w:t>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Возможные пространственные конфигурации электродов для ввода в поперечное сечение опухоли: </w:t>
      </w:r>
      <w:proofErr w:type="gramStart"/>
      <w:r>
        <w:rPr>
          <w:rFonts w:ascii="Helvetica" w:hAnsi="Helvetica" w:cs="Helvetica"/>
          <w:color w:val="000000"/>
        </w:rPr>
        <w:t>а-</w:t>
      </w:r>
      <w:proofErr w:type="gramEnd"/>
      <w:r>
        <w:rPr>
          <w:rFonts w:ascii="Helvetica" w:hAnsi="Helvetica" w:cs="Helvetica"/>
          <w:color w:val="000000"/>
        </w:rPr>
        <w:t xml:space="preserve"> параллельное соединение; б- крестообразное соединение; в- двухрядное крестообразное соединение с несвязанными рядами из 8-и электродов; г- двухрядное крестообразное соединение со связанными рядами из 12 электродов</w:t>
      </w:r>
    </w:p>
    <w:p w:rsidR="00570975" w:rsidRDefault="00570975" w:rsidP="0057097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46165" cy="4681855"/>
            <wp:effectExtent l="0" t="0" r="6985" b="4445"/>
            <wp:docPr id="10" name="Рисунок 10" descr="рис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Возможные пространственные конфигурации электродов для ввода в поперечное сечение опухоли: </w:t>
      </w:r>
      <w:proofErr w:type="gramStart"/>
      <w:r>
        <w:t>а-</w:t>
      </w:r>
      <w:proofErr w:type="gramEnd"/>
      <w:r>
        <w:t xml:space="preserve"> параллельное соединение; б- крестообразное соединение; в- двухрядное крестообразное соединение с несвязанными рядами из 8-и электродов; г- двухрядное крестообразное соединение со связанными рядами из 12 электродов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Такие системы при биполярном режиме работы генератора создают электрические поля разной конфигурации. Так, в первом случае будет создаваться поперечное поле между однополярными электродами (а)</w:t>
      </w:r>
      <w:proofErr w:type="gramStart"/>
      <w:r>
        <w:rPr>
          <w:rFonts w:ascii="Helvetica" w:hAnsi="Helvetica" w:cs="Helvetica"/>
          <w:color w:val="000000"/>
        </w:rPr>
        <w:t xml:space="preserve"> ,</w:t>
      </w:r>
      <w:proofErr w:type="gramEnd"/>
      <w:r>
        <w:rPr>
          <w:rFonts w:ascii="Helvetica" w:hAnsi="Helvetica" w:cs="Helvetica"/>
          <w:color w:val="000000"/>
        </w:rPr>
        <w:t xml:space="preserve"> во втором случае поле будет азимутальным (б). Базовая система может быть дополнена такой же системой электродов, где диаметр расположения </w:t>
      </w:r>
      <w:r>
        <w:rPr>
          <w:rFonts w:ascii="Helvetica" w:hAnsi="Helvetica" w:cs="Helvetica"/>
          <w:color w:val="000000"/>
        </w:rPr>
        <w:lastRenderedPageBreak/>
        <w:t>электродов будет больше или меньше диаметра первичной системы. В таком случае вместо однорядной системы образуются двухрядная система, в которой однополярные электроды соединены между собой, образуя либо систему с несвязанными рядами (в), либо систему со связанными рядами (г).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Исследование распределения теплового поля при нагреве многоэлектродными системами проводилось с помощью </w:t>
      </w:r>
      <w:proofErr w:type="spellStart"/>
      <w:r>
        <w:rPr>
          <w:rFonts w:ascii="Helvetica" w:hAnsi="Helvetica" w:cs="Helvetica"/>
          <w:color w:val="000000"/>
        </w:rPr>
        <w:t>тепловизора</w:t>
      </w:r>
      <w:proofErr w:type="spellEnd"/>
      <w:proofErr w:type="gramStart"/>
      <w:r>
        <w:rPr>
          <w:rFonts w:ascii="Helvetica" w:hAnsi="Helvetica" w:cs="Helvetica"/>
          <w:color w:val="000000"/>
        </w:rPr>
        <w:t xml:space="preserve"> .</w:t>
      </w:r>
      <w:proofErr w:type="gramEnd"/>
      <w:r>
        <w:rPr>
          <w:rFonts w:ascii="Helvetica" w:hAnsi="Helvetica" w:cs="Helvetica"/>
          <w:color w:val="000000"/>
        </w:rPr>
        <w:t xml:space="preserve"> В качестве имитатора </w:t>
      </w:r>
      <w:proofErr w:type="spellStart"/>
      <w:r>
        <w:rPr>
          <w:rFonts w:ascii="Helvetica" w:hAnsi="Helvetica" w:cs="Helvetica"/>
          <w:color w:val="000000"/>
        </w:rPr>
        <w:t>биоткани</w:t>
      </w:r>
      <w:proofErr w:type="spellEnd"/>
      <w:r>
        <w:rPr>
          <w:rFonts w:ascii="Helvetica" w:hAnsi="Helvetica" w:cs="Helvetica"/>
          <w:color w:val="000000"/>
        </w:rPr>
        <w:t xml:space="preserve"> использовался картофель, крахмал которого при нагреве до 55-60 ° C менял свою кристаллическую структуру, чётко обозначая область нагрева с температурой, превышающей 60 </w:t>
      </w:r>
      <w:r>
        <w:rPr>
          <w:rFonts w:ascii="Cambria Math" w:hAnsi="Cambria Math" w:cs="Cambria Math"/>
          <w:color w:val="000000"/>
        </w:rPr>
        <w:t>℃</w:t>
      </w:r>
      <w:r>
        <w:rPr>
          <w:rFonts w:ascii="Helvetica" w:hAnsi="Helvetica" w:cs="Helvetica"/>
          <w:color w:val="000000"/>
        </w:rPr>
        <w:t>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 качестве иллюстрации ниже на рисунках </w:t>
      </w:r>
      <w:proofErr w:type="gramStart"/>
      <w:r>
        <w:rPr>
          <w:rFonts w:ascii="Helvetica" w:hAnsi="Helvetica" w:cs="Helvetica"/>
          <w:color w:val="000000"/>
        </w:rPr>
        <w:t>приводятся</w:t>
      </w:r>
      <w:proofErr w:type="gramEnd"/>
      <w:r>
        <w:rPr>
          <w:rFonts w:ascii="Helvetica" w:hAnsi="Helvetica" w:cs="Helvetica"/>
          <w:color w:val="000000"/>
        </w:rPr>
        <w:t xml:space="preserve"> изменение температуры сдвоенных электродов от времени и термограммы процесса нагрева имитатора ткани однорядной системой из восьми электродов.</w:t>
      </w:r>
    </w:p>
    <w:p w:rsidR="00570975" w:rsidRDefault="00570975" w:rsidP="0057097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189460" cy="9260840"/>
            <wp:effectExtent l="0" t="0" r="2540" b="0"/>
            <wp:docPr id="9" name="Рисунок 9" descr="рис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60" cy="92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Нагрев имитатора </w:t>
      </w:r>
      <w:proofErr w:type="spellStart"/>
      <w:r>
        <w:t>биоткани</w:t>
      </w:r>
      <w:proofErr w:type="spellEnd"/>
      <w:r>
        <w:t xml:space="preserve"> </w:t>
      </w:r>
      <w:proofErr w:type="spellStart"/>
      <w:r>
        <w:t>восьмиэлектродной</w:t>
      </w:r>
      <w:proofErr w:type="spellEnd"/>
      <w:r>
        <w:t xml:space="preserve"> системой в биполярном режиме. Мощность -70 Вт, начальный импеданс-25 Ом, электроды расположены на диаметре 3, 5 см и погружены в имитатор на 3 см. Диаметр электродов-1, 6 мм, спаренные электроды подключены к генератору крестообразно, выводы термопар подключены параллельно.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Заданный профиль изменения температуры от времени обозначен на графике голубым цветом. Температура на электродах достигает 100</w:t>
      </w:r>
      <w:proofErr w:type="gramStart"/>
      <w:r>
        <w:rPr>
          <w:rFonts w:ascii="Helvetica" w:hAnsi="Helvetica" w:cs="Helvetica"/>
          <w:color w:val="000000"/>
        </w:rPr>
        <w:t>°С</w:t>
      </w:r>
      <w:proofErr w:type="gramEnd"/>
      <w:r>
        <w:rPr>
          <w:rFonts w:ascii="Helvetica" w:hAnsi="Helvetica" w:cs="Helvetica"/>
          <w:color w:val="000000"/>
        </w:rPr>
        <w:t xml:space="preserve"> примерно за 10минут, причём симметрично расположенные электроды нагреваются с одинаковой скоростью. Изменение картин теплового поля во времени (термограммы) показаны ниже. Характерно, что внутренняя область круга с 8-ю электродами диаметром 3, 5 см имеет примерно одну и ту же температуру.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Фактически, если вписать опухоль в зону повышенной температуры (е),</w:t>
      </w:r>
      <w:proofErr w:type="gramStart"/>
      <w:r>
        <w:rPr>
          <w:rFonts w:ascii="Helvetica" w:hAnsi="Helvetica" w:cs="Helvetica"/>
          <w:color w:val="000000"/>
        </w:rPr>
        <w:t xml:space="preserve"> ,</w:t>
      </w:r>
      <w:proofErr w:type="gramEnd"/>
      <w:r>
        <w:rPr>
          <w:rFonts w:ascii="Helvetica" w:hAnsi="Helvetica" w:cs="Helvetica"/>
          <w:color w:val="000000"/>
        </w:rPr>
        <w:t xml:space="preserve"> то на все клетки опухоли будет воздействовать примерно одна и та же температура в отличие от нагрева одиночными электродами.</w:t>
      </w:r>
    </w:p>
    <w:p w:rsidR="00570975" w:rsidRDefault="00570975" w:rsidP="0057097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8" name="Рисунок 8" descr="рис. 5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5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а)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7" name="Рисунок 7" descr="рис. 5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 5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б)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6" name="Рисунок 6" descr="рис. 5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. 5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в)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5" name="Рисунок 5" descr="рис. 5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. 5г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г)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4" name="Рисунок 4" descr="рис. 5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. 5д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д)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3" name="Рисунок 3" descr="рис. 5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. 5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е)</w:t>
      </w:r>
    </w:p>
    <w:p w:rsidR="00570975" w:rsidRDefault="00570975" w:rsidP="00570975">
      <w:r>
        <w:t xml:space="preserve">Изменение теплового поля на экране </w:t>
      </w:r>
      <w:proofErr w:type="spellStart"/>
      <w:r>
        <w:t>тепловизора</w:t>
      </w:r>
      <w:proofErr w:type="spellEnd"/>
      <w:r>
        <w:t xml:space="preserve"> за 10 минут радиочастотного нагрева многоэлектродной однорядной системой из восьми электродов.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Начало нагрева характеризуется азимутальным взаимодействием </w:t>
      </w:r>
      <w:proofErr w:type="spellStart"/>
      <w:r>
        <w:rPr>
          <w:rFonts w:ascii="Helvetica" w:hAnsi="Helvetica" w:cs="Helvetica"/>
          <w:color w:val="000000"/>
        </w:rPr>
        <w:t>разнополярных</w:t>
      </w:r>
      <w:proofErr w:type="spellEnd"/>
      <w:r>
        <w:rPr>
          <w:rFonts w:ascii="Helvetica" w:hAnsi="Helvetica" w:cs="Helvetica"/>
          <w:color w:val="000000"/>
        </w:rPr>
        <w:t xml:space="preserve"> электродов между собой, причём центральная часть нагревается довольно слабо. Температура с </w:t>
      </w:r>
      <w:proofErr w:type="spellStart"/>
      <w:r>
        <w:rPr>
          <w:rFonts w:ascii="Helvetica" w:hAnsi="Helvetica" w:cs="Helvetica"/>
          <w:color w:val="000000"/>
        </w:rPr>
        <w:t>целеуказателя</w:t>
      </w:r>
      <w:proofErr w:type="spellEnd"/>
      <w:r>
        <w:rPr>
          <w:rFonts w:ascii="Helvetica" w:hAnsi="Helvetica" w:cs="Helvetica"/>
          <w:color w:val="000000"/>
        </w:rPr>
        <w:t xml:space="preserve"> в левом верхнем углу экрана </w:t>
      </w:r>
      <w:proofErr w:type="spellStart"/>
      <w:r>
        <w:rPr>
          <w:rFonts w:ascii="Helvetica" w:hAnsi="Helvetica" w:cs="Helvetica"/>
          <w:color w:val="000000"/>
        </w:rPr>
        <w:t>тепловизора</w:t>
      </w:r>
      <w:proofErr w:type="spellEnd"/>
      <w:r>
        <w:rPr>
          <w:rFonts w:ascii="Helvetica" w:hAnsi="Helvetica" w:cs="Helvetica"/>
          <w:color w:val="000000"/>
        </w:rPr>
        <w:t xml:space="preserve"> показывает, что нагрев центральной части носит равномерный характер и убыстряется по мере приближения температуры электродов к 100 </w:t>
      </w:r>
      <w:r>
        <w:rPr>
          <w:rFonts w:ascii="Cambria Math" w:hAnsi="Cambria Math" w:cs="Cambria Math"/>
          <w:color w:val="000000"/>
        </w:rPr>
        <w:t>℃</w:t>
      </w:r>
      <w:r>
        <w:rPr>
          <w:rFonts w:ascii="Helvetica" w:hAnsi="Helvetica" w:cs="Helvetica"/>
          <w:color w:val="000000"/>
        </w:rPr>
        <w:t xml:space="preserve"> Созданное внутри системы электродов тепловое поле гораздо более равномерно, чем в случае нагрева из центра к периферии.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Таким образом, разработанные наборы однорядных и двухрядных систем с различным количеством электродов (до 12-и) позволяют перераспределить подводимую радиочастотную мощность между ними со снижением тепловой нагрузки на отдельные электроды системы. Применённое соединение однополюсных электродов увеличивает число одновременно работающих электродов и сокращает число переключений, тем самым</w:t>
      </w:r>
      <w:proofErr w:type="gramStart"/>
      <w:r>
        <w:rPr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proofErr w:type="gramStart"/>
      <w:r>
        <w:rPr>
          <w:rFonts w:ascii="Helvetica" w:hAnsi="Helvetica" w:cs="Helvetica"/>
          <w:color w:val="000000"/>
        </w:rPr>
        <w:t>у</w:t>
      </w:r>
      <w:proofErr w:type="gramEnd"/>
      <w:r>
        <w:rPr>
          <w:rFonts w:ascii="Helvetica" w:hAnsi="Helvetica" w:cs="Helvetica"/>
          <w:color w:val="000000"/>
        </w:rPr>
        <w:t>меньшая время процедуры абляции. За счёт использования многоэлектродных систем удаётся увеличить подводимую энергию без увеличения времени нагрева и довести на имитаторах объёмы нагреваемых тканей до 100 см</w:t>
      </w:r>
      <w:r>
        <w:rPr>
          <w:rFonts w:ascii="Helvetica" w:hAnsi="Helvetica" w:cs="Helvetica"/>
          <w:color w:val="000000"/>
          <w:sz w:val="18"/>
          <w:szCs w:val="18"/>
          <w:vertAlign w:val="superscript"/>
        </w:rPr>
        <w:t>3</w:t>
      </w:r>
      <w:r>
        <w:rPr>
          <w:rFonts w:ascii="Helvetica" w:hAnsi="Helvetica" w:cs="Helvetica"/>
          <w:color w:val="000000"/>
        </w:rPr>
        <w:t> и выше за время, не превышающее 15-20 минут.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Полученные нами результаты свидетельствуют о технической возможности существенного увеличения объёма разрушаемой ткани за счет увеличения числа электродов и размещения электродов по объёму опухоли ближе к периферии, включая зону </w:t>
      </w:r>
      <w:proofErr w:type="spellStart"/>
      <w:r>
        <w:rPr>
          <w:rFonts w:ascii="Helvetica" w:hAnsi="Helvetica" w:cs="Helvetica"/>
          <w:color w:val="000000"/>
        </w:rPr>
        <w:t>абластики</w:t>
      </w:r>
      <w:proofErr w:type="spellEnd"/>
      <w:r>
        <w:rPr>
          <w:rFonts w:ascii="Helvetica" w:hAnsi="Helvetica" w:cs="Helvetica"/>
          <w:color w:val="000000"/>
        </w:rPr>
        <w:t xml:space="preserve">. В результате становится возможным режим нагрева опухолей с их периферии без контакта электродов с опухолью </w:t>
      </w:r>
      <w:r>
        <w:rPr>
          <w:rFonts w:ascii="Helvetica" w:hAnsi="Helvetica" w:cs="Helvetica"/>
          <w:color w:val="000000"/>
        </w:rPr>
        <w:lastRenderedPageBreak/>
        <w:t>со значительным уменьшением риска отдалённого метастазирования. Увеличение числа тепловых источников позволяет не только снизить нагрузки на электроды, но и сократить время процедуры.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 счёт использования многоэлектродных систем удаётся увеличить подводимую энергию без увеличения времени нагрева и довести на имитаторах объёмы нагреваемых тканей до 100 см</w:t>
      </w:r>
      <w:r>
        <w:rPr>
          <w:rFonts w:ascii="Helvetica" w:hAnsi="Helvetica" w:cs="Helvetica"/>
          <w:color w:val="000000"/>
          <w:sz w:val="18"/>
          <w:szCs w:val="18"/>
          <w:vertAlign w:val="superscript"/>
        </w:rPr>
        <w:t>3</w:t>
      </w:r>
      <w:r>
        <w:rPr>
          <w:rFonts w:ascii="Helvetica" w:hAnsi="Helvetica" w:cs="Helvetica"/>
          <w:color w:val="000000"/>
        </w:rPr>
        <w:t> и выше за время, не превышающее 15-20 минут.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Достоинством установки является возможность непрерывного контроля температуры нагрева в 4-х точках с помощью компьютера, подключаемого к установке (</w:t>
      </w:r>
      <w:hyperlink r:id="rId19" w:history="1">
        <w:r>
          <w:rPr>
            <w:rStyle w:val="a9"/>
            <w:rFonts w:ascii="Helvetica" w:hAnsi="Helvetica" w:cs="Helvetica"/>
            <w:b/>
            <w:bCs/>
            <w:color w:val="337AB7"/>
          </w:rPr>
          <w:t>Руководство по эксплуатации</w:t>
        </w:r>
      </w:hyperlink>
      <w:r>
        <w:rPr>
          <w:rFonts w:ascii="Helvetica" w:hAnsi="Helvetica" w:cs="Helvetica"/>
          <w:color w:val="000000"/>
        </w:rPr>
        <w:t>).</w:t>
      </w:r>
    </w:p>
    <w:p w:rsidR="00230B0A" w:rsidRPr="00ED3CAE" w:rsidRDefault="00230B0A" w:rsidP="00ED3CAE"/>
    <w:sectPr w:rsidR="00230B0A" w:rsidRPr="00ED3CA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30B0A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5D0B"/>
    <w:rsid w:val="00567928"/>
    <w:rsid w:val="00570975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D3CAE"/>
    <w:rsid w:val="00EF640F"/>
    <w:rsid w:val="00F04668"/>
    <w:rsid w:val="00F62367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hyperlink" Target="http://www.technosvet.org/media/pdf/%D0%A0%D0%B0%D0%B4%D0%B8%D0%BE%D1%87%D0%B0%D1%81%D1%82%D0%BE%D1%82%D0%BD%D1%8B%D0%B5%20%D1%83%D1%81%D1%82%D0%B0%D0%BD%D0%BE%D0%B2%D0%BA%D0%B8%20%D1%81%20%D0%BC%D0%BD%D0%BE%D0%B3%D0%BE%D1%8D%D0%BB%D0%B5%D0%BA%D1%82%D1%80%D0%BE%D0%B4%D0%BD%D1%8B%D0%BC%D0%B8%20%D1%81%D0%B8%D1%81%D1%82%D0%B5%D0%BC%D0%B0%D0%BC%D0%B8.pdf" TargetMode="External"/><Relationship Id="rId19" Type="http://schemas.openxmlformats.org/officeDocument/2006/relationships/hyperlink" Target="http://www.technosvet.org/media/pdf/%D0%A0%D1%83%D0%BA%D0%BE%D0%B2%D0%BE%D0%B4%D1%81%D1%82%D0%B2%D0%BE%20%D0%A2%D0%95%D0%A1%D0%92.941612.001%20%D0%A0%D0%A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C5A2-60F9-4849-B581-51717B1E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90</cp:revision>
  <dcterms:created xsi:type="dcterms:W3CDTF">2020-04-05T16:59:00Z</dcterms:created>
  <dcterms:modified xsi:type="dcterms:W3CDTF">2020-04-24T05:59:00Z</dcterms:modified>
</cp:coreProperties>
</file>