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56" w:rsidRDefault="00E65E56" w:rsidP="00E65E56">
      <w:pPr>
        <w:pStyle w:val="3"/>
        <w:pBdr>
          <w:top w:val="single" w:sz="2" w:space="0" w:color="000000"/>
          <w:left w:val="single" w:sz="36" w:space="8" w:color="960000"/>
          <w:bottom w:val="single" w:sz="6" w:space="2" w:color="960000"/>
          <w:right w:val="single" w:sz="2" w:space="0" w:color="000000"/>
        </w:pBdr>
        <w:shd w:val="clear" w:color="auto" w:fill="FFFFFF"/>
        <w:jc w:val="both"/>
        <w:rPr>
          <w:rFonts w:ascii="Arial" w:hAnsi="Arial" w:cs="Arial"/>
          <w:color w:val="960000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960000"/>
          <w:sz w:val="20"/>
          <w:szCs w:val="20"/>
        </w:rPr>
        <w:t> </w:t>
      </w:r>
      <w:proofErr w:type="spellStart"/>
      <w:r>
        <w:rPr>
          <w:rStyle w:val="a8"/>
          <w:rFonts w:ascii="Arial" w:hAnsi="Arial" w:cs="Arial"/>
          <w:b/>
          <w:bCs/>
          <w:color w:val="960000"/>
          <w:sz w:val="20"/>
          <w:szCs w:val="20"/>
        </w:rPr>
        <w:t>Двухволновый</w:t>
      </w:r>
      <w:proofErr w:type="spellEnd"/>
      <w:r>
        <w:rPr>
          <w:rStyle w:val="a8"/>
          <w:rFonts w:ascii="Arial" w:hAnsi="Arial" w:cs="Arial"/>
          <w:b/>
          <w:bCs/>
          <w:color w:val="960000"/>
          <w:sz w:val="20"/>
          <w:szCs w:val="20"/>
        </w:rPr>
        <w:t xml:space="preserve"> лазерный аппарат ЛАХТА-МИЛОН™</w:t>
      </w:r>
    </w:p>
    <w:tbl>
      <w:tblPr>
        <w:tblW w:w="970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5"/>
      </w:tblGrid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одном аппарате можно сочетать любые</w:t>
            </w:r>
            <w:r>
              <w:rPr>
                <w:rStyle w:val="a8"/>
                <w:rFonts w:ascii="Verdana" w:hAnsi="Verdana"/>
                <w:sz w:val="20"/>
                <w:szCs w:val="20"/>
              </w:rPr>
              <w:t> две длины волны</w:t>
            </w:r>
            <w:r>
              <w:rPr>
                <w:rFonts w:ascii="Verdana" w:hAnsi="Verdana"/>
                <w:sz w:val="20"/>
                <w:szCs w:val="20"/>
              </w:rPr>
              <w:t> из диапазона: </w:t>
            </w:r>
            <w:r>
              <w:rPr>
                <w:rStyle w:val="a8"/>
                <w:rFonts w:ascii="Verdana" w:hAnsi="Verdana"/>
                <w:sz w:val="20"/>
                <w:szCs w:val="20"/>
              </w:rPr>
              <w:t>635нм, 662нм, 675нм, 810нм, 970нм, 1060нм, 1470нм, 1560нм</w:t>
            </w:r>
            <w:proofErr w:type="gramStart"/>
            <w:r>
              <w:rPr>
                <w:rStyle w:val="a8"/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Э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то позволяет расширить выбор фотосенсибилизаторов, проводить сочетанное воздействие ФДТ, хирургии, ЛИТТ.</w:t>
            </w:r>
          </w:p>
        </w:tc>
      </w:tr>
    </w:tbl>
    <w:p w:rsidR="00E65E56" w:rsidRDefault="00E65E56" w:rsidP="00E65E56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95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4798"/>
        <w:gridCol w:w="565"/>
        <w:gridCol w:w="3465"/>
      </w:tblGrid>
      <w:tr w:rsidR="00E65E56" w:rsidTr="00E65E56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 рисунке показаны спектры поглощения некоторых фотосенсибилизаторов в диапазоне длин волн 500нм – 900нм</w:t>
            </w:r>
          </w:p>
        </w:tc>
        <w:tc>
          <w:tcPr>
            <w:tcW w:w="3375" w:type="dxa"/>
            <w:vMerge w:val="restart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2145030" cy="2736215"/>
                  <wp:effectExtent l="0" t="0" r="7620" b="6985"/>
                  <wp:docPr id="6" name="Рисунок 6" descr="График поглощения фотосенсибилизато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фик поглощения фотосенсибилизато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273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E56" w:rsidTr="00E65E56">
        <w:trPr>
          <w:tblCellSpacing w:w="15" w:type="dxa"/>
        </w:trPr>
        <w:tc>
          <w:tcPr>
            <w:tcW w:w="945" w:type="dxa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4230" w:type="dxa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240665" cy="75565"/>
                  <wp:effectExtent l="0" t="0" r="6985" b="635"/>
                  <wp:docPr id="5" name="Рисунок 5" descr="http://www.milon.ru/images/lin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lon.ru/images/lin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192405" cy="192405"/>
                  <wp:effectExtent l="0" t="0" r="0" b="0"/>
                  <wp:docPr id="4" name="Рисунок 4" descr="http://www.milon.ru/images/empty0702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lon.ru/images/empty0702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hyperlink r:id="rId9" w:tgtFrame="_blank" w:history="1">
              <w:proofErr w:type="spellStart"/>
              <w:proofErr w:type="gramStart"/>
              <w:r>
                <w:rPr>
                  <w:rStyle w:val="a9"/>
                  <w:rFonts w:ascii="Verdana" w:eastAsia="Arial" w:hAnsi="Verdana"/>
                  <w:b/>
                  <w:bCs/>
                  <w:sz w:val="20"/>
                  <w:szCs w:val="20"/>
                </w:rPr>
                <w:t>P</w:t>
              </w:r>
              <w:proofErr w:type="gramEnd"/>
              <w:r>
                <w:rPr>
                  <w:rStyle w:val="a9"/>
                  <w:rFonts w:ascii="Verdana" w:eastAsia="Arial" w:hAnsi="Verdana"/>
                  <w:b/>
                  <w:bCs/>
                  <w:sz w:val="20"/>
                  <w:szCs w:val="20"/>
                </w:rPr>
                <w:t>адахлорин</w:t>
              </w:r>
              <w:proofErr w:type="spellEnd"/>
            </w:hyperlink>
            <w:r>
              <w:rPr>
                <w:rStyle w:val="a8"/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(Рада-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Фарма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Россия).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192405" cy="192405"/>
                  <wp:effectExtent l="0" t="0" r="0" b="0"/>
                  <wp:docPr id="3" name="Рисунок 3" descr="http://www.milon.ru/images/empty0702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lon.ru/images/empty0702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240665" cy="75565"/>
                  <wp:effectExtent l="0" t="0" r="6985" b="635"/>
                  <wp:docPr id="2" name="Рисунок 2" descr="http://www.milon.ru/images/li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ilon.ru/images/li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фотосенсибилизаторы, содержащие производное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гематопорфирина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>
                  <wp:extent cx="240665" cy="75565"/>
                  <wp:effectExtent l="0" t="0" r="6985" b="635"/>
                  <wp:docPr id="1" name="Рисунок 1" descr="http://www.milon.ru/images/lin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ilon.ru/images/lin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фотосенсибилизаторы,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содержащие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фталоцианин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алюминия.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65E56" w:rsidTr="00E65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65E56" w:rsidRDefault="00E65E5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65E56" w:rsidRDefault="00E65E56" w:rsidP="00E65E56">
      <w:pPr>
        <w:pStyle w:val="3"/>
        <w:pBdr>
          <w:top w:val="single" w:sz="2" w:space="0" w:color="000000"/>
          <w:left w:val="single" w:sz="36" w:space="8" w:color="960000"/>
          <w:bottom w:val="single" w:sz="6" w:space="2" w:color="960000"/>
          <w:right w:val="single" w:sz="2" w:space="0" w:color="000000"/>
        </w:pBdr>
        <w:shd w:val="clear" w:color="auto" w:fill="FFFFFF"/>
        <w:jc w:val="both"/>
        <w:rPr>
          <w:rFonts w:ascii="Arial" w:hAnsi="Arial" w:cs="Arial"/>
          <w:color w:val="960000"/>
          <w:sz w:val="20"/>
          <w:szCs w:val="20"/>
        </w:rPr>
      </w:pPr>
      <w:r>
        <w:rPr>
          <w:rStyle w:val="a8"/>
          <w:rFonts w:ascii="Arial" w:hAnsi="Arial" w:cs="Arial"/>
          <w:b/>
          <w:bCs/>
          <w:color w:val="960000"/>
          <w:sz w:val="20"/>
          <w:szCs w:val="20"/>
        </w:rPr>
        <w:t>Технические характеристики лазерного аппарата ЛАХТА-МИЛОН</w:t>
      </w:r>
    </w:p>
    <w:tbl>
      <w:tblPr>
        <w:tblW w:w="96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845"/>
        <w:gridCol w:w="1695"/>
        <w:gridCol w:w="1710"/>
      </w:tblGrid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Style w:val="a8"/>
                <w:rFonts w:ascii="Verdana" w:hAnsi="Verdana"/>
                <w:sz w:val="20"/>
                <w:szCs w:val="20"/>
              </w:rPr>
              <w:t>параметр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Style w:val="a8"/>
                <w:rFonts w:ascii="Verdana" w:hAnsi="Verdana"/>
                <w:sz w:val="20"/>
                <w:szCs w:val="20"/>
              </w:rPr>
              <w:t>значение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Тип дисплея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Цветной графический дисплей (TFT  LCD) с диагональю 5,7”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 параметров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Цветной индикатор с панелью типа </w:t>
            </w:r>
            <w:r>
              <w:rPr>
                <w:rStyle w:val="a8"/>
                <w:rFonts w:ascii="Verdana" w:hAnsi="Verdana"/>
                <w:sz w:val="20"/>
                <w:szCs w:val="20"/>
              </w:rPr>
              <w:t>«</w:t>
            </w:r>
            <w:proofErr w:type="spellStart"/>
            <w:r>
              <w:rPr>
                <w:rStyle w:val="a8"/>
                <w:rFonts w:ascii="Verdana" w:hAnsi="Verdana"/>
                <w:sz w:val="20"/>
                <w:szCs w:val="20"/>
              </w:rPr>
              <w:t>тач-скрин</w:t>
            </w:r>
            <w:proofErr w:type="spellEnd"/>
            <w:r>
              <w:rPr>
                <w:rStyle w:val="a8"/>
                <w:rFonts w:ascii="Verdana" w:hAnsi="Verdana"/>
                <w:sz w:val="20"/>
                <w:szCs w:val="20"/>
              </w:rPr>
              <w:t>»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Длина волны излучения,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675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максимальная  мощность излучения,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Вт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(плавная регулировка мощности)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0,1 - 1</w:t>
            </w:r>
            <w:r>
              <w:rPr>
                <w:rFonts w:ascii="Verdana" w:hAnsi="Verdana"/>
                <w:sz w:val="20"/>
                <w:szCs w:val="20"/>
              </w:rPr>
              <w:br/>
              <w:t>0,1 - 2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0,01 - 0,6</w:t>
            </w:r>
            <w:r>
              <w:rPr>
                <w:rFonts w:ascii="Verdana" w:hAnsi="Verdana"/>
                <w:sz w:val="20"/>
                <w:szCs w:val="20"/>
              </w:rPr>
              <w:br/>
              <w:t>0,05 - 1</w:t>
            </w:r>
            <w:r>
              <w:rPr>
                <w:rFonts w:ascii="Verdana" w:hAnsi="Verdana"/>
                <w:sz w:val="20"/>
                <w:szCs w:val="20"/>
              </w:rPr>
              <w:br/>
              <w:t>0,05 - 1,5</w:t>
            </w:r>
            <w:r>
              <w:rPr>
                <w:rFonts w:ascii="Verdana" w:hAnsi="Verdana"/>
                <w:sz w:val="20"/>
                <w:szCs w:val="20"/>
              </w:rPr>
              <w:br/>
              <w:t>0,05 - 2</w:t>
            </w:r>
            <w:r>
              <w:rPr>
                <w:rFonts w:ascii="Verdana" w:hAnsi="Verdana"/>
                <w:sz w:val="20"/>
                <w:szCs w:val="20"/>
              </w:rPr>
              <w:br/>
              <w:t>0,05 - 2,5</w:t>
            </w:r>
            <w:r>
              <w:rPr>
                <w:rFonts w:ascii="Verdana" w:hAnsi="Verdana"/>
                <w:sz w:val="20"/>
                <w:szCs w:val="20"/>
              </w:rPr>
              <w:br/>
              <w:t>0,1 - 3</w:t>
            </w:r>
            <w:r>
              <w:rPr>
                <w:rFonts w:ascii="Verdana" w:hAnsi="Verdana"/>
                <w:sz w:val="20"/>
                <w:szCs w:val="20"/>
              </w:rPr>
              <w:br/>
              <w:t>0,1 - 3,5</w:t>
            </w:r>
            <w:r>
              <w:rPr>
                <w:rFonts w:ascii="Verdana" w:hAnsi="Verdana"/>
                <w:sz w:val="20"/>
                <w:szCs w:val="20"/>
              </w:rPr>
              <w:br/>
              <w:t>0,1 - 4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длина волны прицельного лазера,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нм</w:t>
            </w:r>
            <w:proofErr w:type="spellEnd"/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520 (зеленый)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мощность прицельного лазера, мВт (плавная регулировка)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0-1.0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время экспозиции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0,01с – 6ч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временной режим работы лазерного излучения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непрерывный, импульсный, импульсно-периодический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Цифровая и графическая индикация,  регулировка параметров: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мощность лазерного излучения</w:t>
            </w:r>
            <w:r>
              <w:rPr>
                <w:rFonts w:ascii="Verdana" w:hAnsi="Verdana"/>
                <w:sz w:val="20"/>
                <w:szCs w:val="20"/>
              </w:rPr>
              <w:br/>
              <w:t>- длительность импульса излучения</w:t>
            </w:r>
            <w:r>
              <w:rPr>
                <w:rFonts w:ascii="Verdana" w:hAnsi="Verdana"/>
                <w:sz w:val="20"/>
                <w:szCs w:val="20"/>
              </w:rPr>
              <w:br/>
              <w:t>- интервал между импульсами</w:t>
            </w:r>
            <w:r>
              <w:rPr>
                <w:rFonts w:ascii="Verdana" w:hAnsi="Verdana"/>
                <w:sz w:val="20"/>
                <w:szCs w:val="20"/>
              </w:rPr>
              <w:br/>
              <w:t>- экспозиция лазерного излучения</w:t>
            </w:r>
            <w:r>
              <w:rPr>
                <w:rFonts w:ascii="Verdana" w:hAnsi="Verdana"/>
                <w:sz w:val="20"/>
                <w:szCs w:val="20"/>
              </w:rPr>
              <w:br/>
              <w:t>- </w:t>
            </w:r>
            <w:r>
              <w:rPr>
                <w:rStyle w:val="a8"/>
                <w:rFonts w:ascii="Verdana" w:hAnsi="Verdana"/>
                <w:sz w:val="20"/>
                <w:szCs w:val="20"/>
              </w:rPr>
              <w:t>суммарное время лазерного излучения</w:t>
            </w:r>
            <w:r>
              <w:rPr>
                <w:rFonts w:ascii="Verdana" w:hAnsi="Verdana"/>
                <w:sz w:val="20"/>
                <w:szCs w:val="20"/>
              </w:rPr>
              <w:br/>
              <w:t>- </w:t>
            </w:r>
            <w:r>
              <w:rPr>
                <w:rStyle w:val="a8"/>
                <w:rFonts w:ascii="Verdana" w:hAnsi="Verdana"/>
                <w:sz w:val="20"/>
                <w:szCs w:val="20"/>
              </w:rPr>
              <w:t>суммарная доза энергии</w:t>
            </w:r>
            <w:r>
              <w:rPr>
                <w:rFonts w:ascii="Verdana" w:hAnsi="Verdana"/>
                <w:sz w:val="20"/>
                <w:szCs w:val="20"/>
              </w:rPr>
              <w:br/>
              <w:t>- энергия импульса</w:t>
            </w:r>
            <w:r>
              <w:rPr>
                <w:rFonts w:ascii="Verdana" w:hAnsi="Verdana"/>
                <w:sz w:val="20"/>
                <w:szCs w:val="20"/>
              </w:rPr>
              <w:br/>
              <w:t>- счетчик импульсов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напряжение питания  (от сети переменного тока)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220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потребляемая мощность (не более)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габаритные размеры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одноволнового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аппарата, мм (Ш х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х Г)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245х180х305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габаритные размеры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двухволнового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аппарата, мм (Ш х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х Г)</w:t>
            </w:r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245х180х305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масса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одноволнового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аппарата,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E65E56" w:rsidTr="00E65E56">
        <w:trPr>
          <w:tblCellSpacing w:w="15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масса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двухволнового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аппарата,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E65E56" w:rsidTr="00E65E56">
        <w:trPr>
          <w:tblCellSpacing w:w="15" w:type="dxa"/>
        </w:trPr>
        <w:tc>
          <w:tcPr>
            <w:tcW w:w="9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E56" w:rsidRDefault="00E65E56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Style w:val="a8"/>
                <w:rFonts w:ascii="Verdana" w:hAnsi="Verdana"/>
                <w:sz w:val="20"/>
                <w:szCs w:val="20"/>
              </w:rPr>
              <w:t xml:space="preserve">В </w:t>
            </w:r>
            <w:proofErr w:type="spellStart"/>
            <w:r>
              <w:rPr>
                <w:rStyle w:val="a8"/>
                <w:rFonts w:ascii="Verdana" w:hAnsi="Verdana"/>
                <w:sz w:val="20"/>
                <w:szCs w:val="20"/>
              </w:rPr>
              <w:t>двухволновом</w:t>
            </w:r>
            <w:proofErr w:type="spellEnd"/>
            <w:r>
              <w:rPr>
                <w:rStyle w:val="a8"/>
                <w:rFonts w:ascii="Verdana" w:hAnsi="Verdana"/>
                <w:sz w:val="20"/>
                <w:szCs w:val="20"/>
              </w:rPr>
              <w:t xml:space="preserve"> аппарате ЛАХТА-МИЛОН: </w:t>
            </w:r>
            <w:r>
              <w:rPr>
                <w:rFonts w:ascii="Verdana" w:hAnsi="Verdana"/>
                <w:sz w:val="20"/>
                <w:szCs w:val="20"/>
              </w:rPr>
              <w:t xml:space="preserve">Раздельная регулировка параметров излучения каналов (свое меню для каждого канала). Каждый канал снабжен оптическим разъемом для подключения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световодных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инструментов, прицельным лазером. Для удобства работы экраны каналов имеют разные цвета.</w:t>
            </w:r>
          </w:p>
        </w:tc>
      </w:tr>
    </w:tbl>
    <w:p w:rsidR="00591AAF" w:rsidRPr="00E65E56" w:rsidRDefault="00591AAF" w:rsidP="00E65E56">
      <w:bookmarkStart w:id="0" w:name="_GoBack"/>
      <w:bookmarkEnd w:id="0"/>
    </w:p>
    <w:sectPr w:rsidR="00591AAF" w:rsidRPr="00E65E56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14"/>
  </w:num>
  <w:num w:numId="13">
    <w:abstractNumId w:val="6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125BDA"/>
    <w:rsid w:val="0019528C"/>
    <w:rsid w:val="00350AAF"/>
    <w:rsid w:val="00442681"/>
    <w:rsid w:val="00504F6E"/>
    <w:rsid w:val="00591AAF"/>
    <w:rsid w:val="0093004B"/>
    <w:rsid w:val="00B12FC7"/>
    <w:rsid w:val="00DB555B"/>
    <w:rsid w:val="00E016F6"/>
    <w:rsid w:val="00E65E56"/>
    <w:rsid w:val="00E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radaphar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</cp:revision>
  <dcterms:created xsi:type="dcterms:W3CDTF">2020-04-11T23:43:00Z</dcterms:created>
  <dcterms:modified xsi:type="dcterms:W3CDTF">2020-04-30T03:42:00Z</dcterms:modified>
</cp:coreProperties>
</file>