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E6" w:rsidRDefault="00FB63E6" w:rsidP="00FB63E6">
      <w:pPr>
        <w:pStyle w:val="a3"/>
        <w:shd w:val="clear" w:color="auto" w:fill="CFE0F4"/>
        <w:spacing w:before="150" w:beforeAutospacing="0" w:after="150" w:afterAutospacing="0"/>
        <w:ind w:left="300" w:right="300"/>
        <w:jc w:val="center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особенности:</w:t>
      </w:r>
    </w:p>
    <w:p w:rsidR="00FB63E6" w:rsidRDefault="00FB63E6" w:rsidP="00FB63E6">
      <w:pPr>
        <w:pStyle w:val="2"/>
        <w:spacing w:before="225" w:beforeAutospacing="0" w:after="75" w:afterAutospacing="0"/>
        <w:ind w:left="300" w:right="30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FMARK NS 10 / 20 / 30 / 50</w:t>
      </w:r>
    </w:p>
    <w:tbl>
      <w:tblPr>
        <w:tblW w:w="15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7553"/>
      </w:tblGrid>
      <w:tr w:rsidR="00FB63E6" w:rsidTr="00FB63E6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Сканаторная система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двухосевой сканатор MS II-10, RAYLASE (Германия)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10 м/с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Программно-аппаратное разрешение: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1,8 мкм (110 x 110 мм)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Дрейф позиционирования: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&lt;150 мкрад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Воспроизводимость: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2,4 мкм</w:t>
            </w:r>
          </w:p>
        </w:tc>
      </w:tr>
      <w:tr w:rsidR="00FB63E6" w:rsidTr="00FB63E6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Фокусирующая оптика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линзы: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F-Theta, Linos (Германия)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пятна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 мкм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Размеры зоны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сменные объективы: 60 x 60, 110 x 110, 180 x 180, 240 x 240 мм</w:t>
            </w:r>
          </w:p>
        </w:tc>
      </w:tr>
      <w:tr w:rsidR="00FB63E6" w:rsidTr="00FB63E6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Источник излучения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волоконный иттербиевый, IPG Photonics (ИРЭ Полюс) с опцией «Hight Contrast»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Рабочая длина волны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1,06 – 1,07 мкм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Качество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</w:t>
            </w:r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color w:val="000000"/>
                <w:sz w:val="21"/>
                <w:szCs w:val="21"/>
              </w:rPr>
              <w:t> &lt; 1,5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Ресурс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более 50 000 часов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Средняя выходная мощность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 20, 30 или 50 Вт (ТЕМ</w:t>
            </w:r>
            <w:r>
              <w:rPr>
                <w:color w:val="000000"/>
                <w:sz w:val="21"/>
                <w:szCs w:val="21"/>
                <w:vertAlign w:val="subscript"/>
              </w:rPr>
              <w:t>00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Охлаждение: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автономное, воздушное</w:t>
            </w:r>
          </w:p>
        </w:tc>
      </w:tr>
      <w:tr w:rsidR="00FB63E6" w:rsidTr="00FB63E6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Программное обеспечение AScript®</w:t>
            </w:r>
            <w:r>
              <w:rPr>
                <w:b/>
                <w:bCs/>
                <w:color w:val="000000"/>
                <w:sz w:val="21"/>
                <w:szCs w:val="21"/>
              </w:rPr>
              <w:br/>
              <w:t>(свидетельство о государственной регистрации №2016616429)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выводимых изображений: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текст, фото, штрих-коды, 3D-рельефы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Совместимость с графическими редакторами: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CorelDRAW, ArtCAM, AutoCAD</w:t>
            </w:r>
          </w:p>
        </w:tc>
      </w:tr>
      <w:tr w:rsidR="00FB63E6" w:rsidTr="00FB63E6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Общие характеристики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Конфигурация: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настольное исполнение</w:t>
            </w:r>
          </w:p>
        </w:tc>
      </w:tr>
      <w:tr w:rsidR="00FB63E6" w:rsidTr="00FB63E6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Энергопотребление: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63E6" w:rsidRDefault="00FB63E6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x 220 В; 50 Гц; 0,4 кВт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21" w:rsidRDefault="00AF1121" w:rsidP="004522AA">
      <w:pPr>
        <w:spacing w:after="0" w:line="240" w:lineRule="auto"/>
      </w:pPr>
      <w:r>
        <w:separator/>
      </w:r>
    </w:p>
  </w:endnote>
  <w:endnote w:type="continuationSeparator" w:id="0">
    <w:p w:rsidR="00AF1121" w:rsidRDefault="00AF112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21" w:rsidRDefault="00AF1121" w:rsidP="004522AA">
      <w:pPr>
        <w:spacing w:after="0" w:line="240" w:lineRule="auto"/>
      </w:pPr>
      <w:r>
        <w:separator/>
      </w:r>
    </w:p>
  </w:footnote>
  <w:footnote w:type="continuationSeparator" w:id="0">
    <w:p w:rsidR="00AF1121" w:rsidRDefault="00AF112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1121"/>
    <w:rsid w:val="00AF3089"/>
    <w:rsid w:val="00B12FC7"/>
    <w:rsid w:val="00B86130"/>
    <w:rsid w:val="00BB45AD"/>
    <w:rsid w:val="00C67DBE"/>
    <w:rsid w:val="00D234CF"/>
    <w:rsid w:val="00D56F6E"/>
    <w:rsid w:val="00DB555B"/>
    <w:rsid w:val="00DF64A8"/>
    <w:rsid w:val="00E016F6"/>
    <w:rsid w:val="00E01897"/>
    <w:rsid w:val="00E5085A"/>
    <w:rsid w:val="00E65E56"/>
    <w:rsid w:val="00E846CF"/>
    <w:rsid w:val="00EB521C"/>
    <w:rsid w:val="00EC2111"/>
    <w:rsid w:val="00EC55A1"/>
    <w:rsid w:val="00EF4D76"/>
    <w:rsid w:val="00F577ED"/>
    <w:rsid w:val="00F74C7F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64</cp:revision>
  <dcterms:created xsi:type="dcterms:W3CDTF">2020-04-11T23:43:00Z</dcterms:created>
  <dcterms:modified xsi:type="dcterms:W3CDTF">2020-06-02T07:37:00Z</dcterms:modified>
</cp:coreProperties>
</file>