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5400"/>
      </w:tblGrid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Декларация о соответствии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Регистрационное удостоверение МЗ РФ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Руководство по эксплуатации на русском языке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Интерфейс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Объём шприцев, используемых в насосе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10 мл, 20 мл, 30 мл, 50/60 мл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Тип используемых шприцев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Любого производителя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Задание объема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с дискретностью, мл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от 0,1 до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max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объема шприца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0,1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Скорость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мл/час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0,1…1200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Дискретность изменения скорости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мл/час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0,1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Болюсная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инфузия</w:t>
            </w:r>
            <w:proofErr w:type="spell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 xml:space="preserve">Дискретность задания объема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болюсной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0,1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Скорость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болюсной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мл/час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1…1200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Дискретность изменения скорости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болюсной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мл/час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Режимы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болюсной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Ручной, запрограммированный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KVO (режим открытой вены)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1% от скорости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но не менее 0,1 мл/час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Автоматическое определение времени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через объём и скорость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Графический жидкокристаллический дисплей для выведения параметров работы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Параметры, выводимые на дисплей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Тип шприца,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Заданный объём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Скорость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Введенный объем,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 xml:space="preserve">Время до окончания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Название вводимого лекарства,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Заданный объем болюса,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Скорость болюса;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Режим  работы (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 болюс и т.п.),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Суммарный объем нескольких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инфузий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Вид питания (сеть, аккумулятор),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Степень зарядки аккумулятора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Дата, время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Уровень окклюзии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>Программируемая библиотека лекарств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Память библиотеки, наименований лекарств, шт.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До 150 с возможностью редактирования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Память последних событий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Не менее 100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Режимы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1.Установленная скорость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2. </w:t>
            </w: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Объемная</w:t>
            </w:r>
            <w:proofErr w:type="gram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в пределах емкости шприца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3.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Болюсная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с заданной скоростью и объемом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4.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Болюсная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инфузия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с заданной скоростью по нажатию кнопки.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Функция «быстрый старт» (по сохраненным  параметрам)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>Погрешность механическая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Не более  ±2%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Уровень окклюзии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Три уровня: низкий (0,4±0,2бар),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средний (0,7±0,2бар,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высокий (1,1±0,3бар)</w:t>
            </w:r>
            <w:proofErr w:type="gramEnd"/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Сигналы тревоги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1- предупредительный, за 2 минуты до окончания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(введения заданного объема);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2- неправильная фиксация шприца;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3 – окклюзия;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 xml:space="preserve">4 – окончание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инфузии</w:t>
            </w:r>
            <w:proofErr w:type="spell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 (введения заданного объема);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5- недостаточный заряд аккумулятора (индикация);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6 – полный разряд аккумулятора;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7 – нарушения сетевого питания;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8 – отсутствие действий в течение  2-х минут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Электропитание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АС 220±22V, 50/60 </w:t>
            </w:r>
            <w:proofErr w:type="spell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Hz</w:t>
            </w:r>
            <w:proofErr w:type="spellEnd"/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Потребляемая мощность, </w:t>
            </w: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Не более 10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Встроенная перезаряжаемая аккумуляторная батарея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Время работы от аккумулятора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Не менее 10 часов при скорости введения 5 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>мл/час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lastRenderedPageBreak/>
              <w:t>Струбцина для крепления к стойке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Наличие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Корпус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Ударопрочный  металлический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Условия эксплуатации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Температура: от +5 до +40</w:t>
            </w: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°С</w:t>
            </w:r>
            <w:proofErr w:type="gramEnd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,</w:t>
            </w: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br/>
              <w:t>относительная  влажность: от 20% до 90 %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Комплектация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Электронный блок, сетевой кабель, струбцина, руководство по эксплуатации, гарантийный талон.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Габаритные размеры, </w:t>
            </w: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не более 275х195х70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 xml:space="preserve">Вес, </w:t>
            </w:r>
            <w:proofErr w:type="gramStart"/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не более 1,8</w:t>
            </w:r>
          </w:p>
        </w:tc>
      </w:tr>
      <w:tr w:rsidR="00D02943" w:rsidRPr="00D02943" w:rsidTr="00D02943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Гарантийный срок эксплуатации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D02943" w:rsidRPr="00D02943" w:rsidRDefault="00D02943" w:rsidP="00D02943">
            <w:pPr>
              <w:spacing w:before="255" w:after="255" w:line="240" w:lineRule="auto"/>
              <w:ind w:left="255" w:right="255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D02943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18 месяца</w:t>
            </w:r>
          </w:p>
        </w:tc>
      </w:tr>
    </w:tbl>
    <w:p w:rsidR="00AC3399" w:rsidRPr="00D02943" w:rsidRDefault="00AC3399" w:rsidP="00D02943">
      <w:bookmarkStart w:id="0" w:name="_GoBack"/>
      <w:bookmarkEnd w:id="0"/>
    </w:p>
    <w:sectPr w:rsidR="00AC3399" w:rsidRPr="00D02943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C5" w:rsidRDefault="006D30C5" w:rsidP="004522AA">
      <w:pPr>
        <w:spacing w:after="0" w:line="240" w:lineRule="auto"/>
      </w:pPr>
      <w:r>
        <w:separator/>
      </w:r>
    </w:p>
  </w:endnote>
  <w:endnote w:type="continuationSeparator" w:id="0">
    <w:p w:rsidR="006D30C5" w:rsidRDefault="006D30C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C5" w:rsidRDefault="006D30C5" w:rsidP="004522AA">
      <w:pPr>
        <w:spacing w:after="0" w:line="240" w:lineRule="auto"/>
      </w:pPr>
      <w:r>
        <w:separator/>
      </w:r>
    </w:p>
  </w:footnote>
  <w:footnote w:type="continuationSeparator" w:id="0">
    <w:p w:rsidR="006D30C5" w:rsidRDefault="006D30C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52E8B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D30C5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5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149</cp:revision>
  <dcterms:created xsi:type="dcterms:W3CDTF">2020-04-11T23:43:00Z</dcterms:created>
  <dcterms:modified xsi:type="dcterms:W3CDTF">2020-07-07T04:19:00Z</dcterms:modified>
</cp:coreProperties>
</file>