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64" w:rsidRDefault="00DA5B64" w:rsidP="00DA5B64">
      <w:pPr>
        <w:pStyle w:val="2"/>
        <w:spacing w:before="0" w:after="150"/>
        <w:textAlignment w:val="baseline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t>Технические характеристики</w:t>
      </w:r>
    </w:p>
    <w:tbl>
      <w:tblPr>
        <w:tblW w:w="12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1912"/>
        <w:gridCol w:w="1913"/>
        <w:gridCol w:w="1913"/>
        <w:gridCol w:w="1913"/>
      </w:tblGrid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63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Наибольшее рабочее напряжение </w:t>
            </w:r>
            <w:proofErr w:type="gramStart"/>
            <w:r>
              <w:rPr>
                <w:rFonts w:ascii="Arial" w:hAnsi="Arial" w:cs="Arial"/>
                <w:color w:val="2B2B2B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12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Номинальное напряжение на стороне НН,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0,4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Ток термической стойкости в течение 1с на стороне ВН,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6,3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Ток электродинамической стойкости на стороне ВН,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16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Ток термической стойкости в течение 1с на стороне НН и ответвлений, 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2020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Ток электродинамической стойкости на стороне НН и ответвлений, 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5050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Уровень изоляции по ГОСТ 1516.1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Нормальная изоляция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Нормальная изоляция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Нормальная изоляция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Нормальная изоляция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Длина пути утечки внешней изоляции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</w:rPr>
              <w:t>электорооборудования</w:t>
            </w:r>
            <w:proofErr w:type="spellEnd"/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 ПТС на стороне В.Н., не менее, </w:t>
            </w:r>
            <w:proofErr w:type="gramStart"/>
            <w:r>
              <w:rPr>
                <w:rFonts w:ascii="Arial" w:hAnsi="Arial" w:cs="Arial"/>
                <w:color w:val="2B2B2B"/>
                <w:sz w:val="20"/>
                <w:szCs w:val="20"/>
              </w:rPr>
              <w:t>мм</w:t>
            </w:r>
            <w:proofErr w:type="gramEnd"/>
            <w:r>
              <w:rPr>
                <w:rFonts w:ascii="Arial" w:hAnsi="Arial" w:cs="Arial"/>
                <w:color w:val="2B2B2B"/>
                <w:sz w:val="20"/>
                <w:szCs w:val="20"/>
              </w:rPr>
              <w:t>: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— вводные (приемные) изоляторы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— предохранитель—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</w:rPr>
              <w:t>разъеденитель</w:t>
            </w:r>
            <w:proofErr w:type="spellEnd"/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— силовой трансформатор: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степень загрязнения изоляции I по ГОСТ 9902</w:t>
            </w: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степень загрязнения изоляции II по ГОСТ 9902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 xml:space="preserve">— ограничитель </w:t>
            </w:r>
            <w:proofErr w:type="spellStart"/>
            <w:r>
              <w:rPr>
                <w:rFonts w:ascii="Arial" w:hAnsi="Arial" w:cs="Arial"/>
                <w:color w:val="2B2B2B"/>
                <w:sz w:val="20"/>
                <w:szCs w:val="20"/>
              </w:rPr>
              <w:t>перенапряженияй</w:t>
            </w:r>
            <w:proofErr w:type="spellEnd"/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— опорный изолятор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300</w:t>
            </w:r>
          </w:p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320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200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380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300</w:t>
            </w:r>
          </w:p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320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200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380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300</w:t>
            </w:r>
          </w:p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320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200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380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300</w:t>
            </w:r>
          </w:p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320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br/>
              <w:t>200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380</w:t>
            </w:r>
          </w:p>
          <w:p w:rsidR="00DA5B64" w:rsidRDefault="00DA5B64">
            <w:pPr>
              <w:pStyle w:val="p4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300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Число отходящих линий 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3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lastRenderedPageBreak/>
              <w:t>Ток отходящей линии,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40;25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25;25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5;50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3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40;40;80 </w:t>
            </w:r>
          </w:p>
        </w:tc>
      </w:tr>
      <w:tr w:rsidR="00DA5B64" w:rsidTr="00DA5B64"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Срок службы подстанций, не менее,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single" w:sz="6" w:space="0" w:color="E0EDF1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DF1"/>
              <w:right w:val="nil"/>
            </w:tcBorders>
            <w:shd w:val="clear" w:color="auto" w:fill="EDF4F6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DA5B64" w:rsidRDefault="00DA5B64">
            <w:pPr>
              <w:pStyle w:val="p2"/>
              <w:spacing w:before="150" w:beforeAutospacing="0" w:after="150" w:afterAutospacing="0" w:line="345" w:lineRule="atLeast"/>
              <w:jc w:val="center"/>
              <w:textAlignment w:val="baseline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2B2B2B"/>
                <w:sz w:val="20"/>
                <w:szCs w:val="20"/>
              </w:rPr>
              <w:t>25</w:t>
            </w:r>
          </w:p>
        </w:tc>
      </w:tr>
    </w:tbl>
    <w:p w:rsidR="00D3411F" w:rsidRPr="00DA5B64" w:rsidRDefault="00D3411F" w:rsidP="00DA5B64">
      <w:bookmarkStart w:id="0" w:name="_GoBack"/>
      <w:bookmarkEnd w:id="0"/>
    </w:p>
    <w:sectPr w:rsidR="00D3411F" w:rsidRPr="00DA5B64" w:rsidSect="00AB4F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22"/>
  </w:num>
  <w:num w:numId="5">
    <w:abstractNumId w:val="29"/>
  </w:num>
  <w:num w:numId="6">
    <w:abstractNumId w:val="35"/>
  </w:num>
  <w:num w:numId="7">
    <w:abstractNumId w:val="40"/>
  </w:num>
  <w:num w:numId="8">
    <w:abstractNumId w:val="45"/>
  </w:num>
  <w:num w:numId="9">
    <w:abstractNumId w:val="30"/>
  </w:num>
  <w:num w:numId="10">
    <w:abstractNumId w:val="16"/>
  </w:num>
  <w:num w:numId="11">
    <w:abstractNumId w:val="33"/>
  </w:num>
  <w:num w:numId="12">
    <w:abstractNumId w:val="14"/>
  </w:num>
  <w:num w:numId="13">
    <w:abstractNumId w:val="34"/>
  </w:num>
  <w:num w:numId="14">
    <w:abstractNumId w:val="1"/>
  </w:num>
  <w:num w:numId="15">
    <w:abstractNumId w:val="9"/>
  </w:num>
  <w:num w:numId="16">
    <w:abstractNumId w:val="12"/>
  </w:num>
  <w:num w:numId="17">
    <w:abstractNumId w:val="39"/>
  </w:num>
  <w:num w:numId="18">
    <w:abstractNumId w:val="36"/>
  </w:num>
  <w:num w:numId="19">
    <w:abstractNumId w:val="2"/>
  </w:num>
  <w:num w:numId="20">
    <w:abstractNumId w:val="21"/>
  </w:num>
  <w:num w:numId="21">
    <w:abstractNumId w:val="47"/>
  </w:num>
  <w:num w:numId="22">
    <w:abstractNumId w:val="23"/>
  </w:num>
  <w:num w:numId="23">
    <w:abstractNumId w:val="11"/>
  </w:num>
  <w:num w:numId="24">
    <w:abstractNumId w:val="28"/>
  </w:num>
  <w:num w:numId="25">
    <w:abstractNumId w:val="37"/>
  </w:num>
  <w:num w:numId="26">
    <w:abstractNumId w:val="25"/>
  </w:num>
  <w:num w:numId="27">
    <w:abstractNumId w:val="7"/>
  </w:num>
  <w:num w:numId="28">
    <w:abstractNumId w:val="43"/>
  </w:num>
  <w:num w:numId="29">
    <w:abstractNumId w:val="17"/>
  </w:num>
  <w:num w:numId="30">
    <w:abstractNumId w:val="3"/>
  </w:num>
  <w:num w:numId="31">
    <w:abstractNumId w:val="19"/>
  </w:num>
  <w:num w:numId="32">
    <w:abstractNumId w:val="46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2"/>
  </w:num>
  <w:num w:numId="38">
    <w:abstractNumId w:val="44"/>
  </w:num>
  <w:num w:numId="39">
    <w:abstractNumId w:val="38"/>
  </w:num>
  <w:num w:numId="40">
    <w:abstractNumId w:val="5"/>
  </w:num>
  <w:num w:numId="41">
    <w:abstractNumId w:val="15"/>
  </w:num>
  <w:num w:numId="42">
    <w:abstractNumId w:val="10"/>
  </w:num>
  <w:num w:numId="43">
    <w:abstractNumId w:val="41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8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B2B8E"/>
    <w:rsid w:val="001C67D4"/>
    <w:rsid w:val="001D0696"/>
    <w:rsid w:val="001D3FAF"/>
    <w:rsid w:val="001F34DD"/>
    <w:rsid w:val="001F578B"/>
    <w:rsid w:val="00215D35"/>
    <w:rsid w:val="00230B0A"/>
    <w:rsid w:val="00237644"/>
    <w:rsid w:val="002621CD"/>
    <w:rsid w:val="002B2B1F"/>
    <w:rsid w:val="002D214E"/>
    <w:rsid w:val="003077E6"/>
    <w:rsid w:val="003301DF"/>
    <w:rsid w:val="003363B0"/>
    <w:rsid w:val="0043601E"/>
    <w:rsid w:val="004905BA"/>
    <w:rsid w:val="004B44B2"/>
    <w:rsid w:val="004B70D5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B4F75"/>
    <w:rsid w:val="00AC2B2A"/>
    <w:rsid w:val="00AC7690"/>
    <w:rsid w:val="00BB5DEB"/>
    <w:rsid w:val="00CB0DBC"/>
    <w:rsid w:val="00CD7F13"/>
    <w:rsid w:val="00CF2695"/>
    <w:rsid w:val="00D3411F"/>
    <w:rsid w:val="00DA3B3A"/>
    <w:rsid w:val="00DA5B64"/>
    <w:rsid w:val="00DB555B"/>
    <w:rsid w:val="00E355B6"/>
    <w:rsid w:val="00E9412F"/>
    <w:rsid w:val="00ED3CAE"/>
    <w:rsid w:val="00EF640F"/>
    <w:rsid w:val="00F04668"/>
    <w:rsid w:val="00F61E4C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A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A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A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A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503">
          <w:marLeft w:val="-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AA99-27AE-4769-BA4F-FB69F6B1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</cp:revision>
  <dcterms:created xsi:type="dcterms:W3CDTF">2020-10-27T03:59:00Z</dcterms:created>
  <dcterms:modified xsi:type="dcterms:W3CDTF">2020-10-27T03:59:00Z</dcterms:modified>
</cp:coreProperties>
</file>