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D3" w:rsidRPr="004810D3" w:rsidRDefault="004810D3" w:rsidP="004810D3">
      <w:pPr>
        <w:pStyle w:val="2"/>
        <w:shd w:val="clear" w:color="auto" w:fill="F7F7F7"/>
        <w:spacing w:before="0" w:after="240"/>
        <w:rPr>
          <w:rFonts w:ascii="Exo 2" w:hAnsi="Exo 2" w:cs="Arial"/>
          <w:color w:val="003367"/>
          <w:sz w:val="32"/>
          <w:szCs w:val="32"/>
          <w:lang w:val="en-US"/>
        </w:rPr>
      </w:pPr>
      <w:r w:rsidRPr="004810D3">
        <w:rPr>
          <w:rFonts w:ascii="Exo 2" w:hAnsi="Exo 2" w:cs="Arial"/>
          <w:color w:val="003367"/>
          <w:sz w:val="32"/>
          <w:szCs w:val="32"/>
          <w:lang w:val="en-US"/>
        </w:rPr>
        <w:t>Specifications</w:t>
      </w:r>
    </w:p>
    <w:p w:rsidR="004810D3" w:rsidRPr="004810D3" w:rsidRDefault="004810D3" w:rsidP="004810D3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Measuring heads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Standard AFM head for traditional AFM probes. Enables operation with the majority of commercial probes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Scanner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Type: tube scanner with closed loop sensors. Scanning by tip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Scanning range, XYZ: 100×100×10 µm or 2×2×1 µm in Low Voltage Mode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Closed loop: Available for all Directions: XYZ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Drive electronics noise &lt;5 µV/√Hz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Tip-Sample Positioning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Type: motorized sample positioning in XYZ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XYZ thermal drift: 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Less than 0.2 nm/min</w:t>
      </w:r>
      <w:proofErr w:type="gramEnd"/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Moving range: 200×200 mm in XY, 30 mm in Z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Positioning accuracy: 1 µm in XY, 0.2 µm in Z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Positioning speed: 8 mm/sec in XY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Navigation: automated multiple scanning by user-defined scenario, by video image, 3D mouse compatible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Approach: smart soft approach algorithm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Optical Sensor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Light source: 850 nm SLD with FC single mode fiber, optional LDM and SLD sources of different wavelengths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Optical system adjustment: automated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Optical beam deflection sensor noise: &lt;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25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fm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/√Hz above 50 kHz</w:t>
      </w:r>
      <w:proofErr w:type="gramEnd"/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Optical Microscope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Type: motorized focus, digital zoom and XY positioning. Correlated with sample and laser position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Resolution: 0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,98</w:t>
      </w:r>
      <w:proofErr w:type="gram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545454"/>
          <w:sz w:val="23"/>
          <w:szCs w:val="23"/>
        </w:rPr>
        <w:t>μ</w:t>
      </w:r>
      <w:r w:rsidRPr="004810D3">
        <w:rPr>
          <w:rFonts w:ascii="Arial" w:hAnsi="Arial" w:cs="Arial"/>
          <w:color w:val="545454"/>
          <w:sz w:val="23"/>
          <w:szCs w:val="23"/>
          <w:lang w:val="en-US"/>
        </w:rPr>
        <w:t>m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Field of view: up to 1.2×0.8 mm (5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Mpixel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Autofocus: on cantilever, on sample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lastRenderedPageBreak/>
        <w:t>Accessories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Variety of sample holders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150 V bias voltage extension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Signal Access Module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AFM probes: probe holder supports most commercially available probes</w:t>
      </w:r>
    </w:p>
    <w:p w:rsidR="004810D3" w:rsidRPr="004810D3" w:rsidRDefault="004810D3" w:rsidP="004810D3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Electronics &amp; Software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Number of scan channels: up to 24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Signal processing: 512 Mb buffer Size, 3x 340 MHz FPGA, 320 MHz DSP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Lock-in amplifiers: 2x analog lock-in amplifiers, 3x digital lock-in amplifiers (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Multifrequency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AFM modes supporting)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Generators: 6x 32 bit digital generators, 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4x</w:t>
      </w:r>
      <w:proofErr w:type="gram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for Lock-in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BV: +/- 10 V AC and DC (independent sample and tip voltage supply), +/- 150 V AC and DC (optional)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Self-testing: automated performance check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Scanning parameters auto adjustment: drive amplitude, lock-in gain,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setpoint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, feedback gain, scanning rate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Automatic configuration of advanced modes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Automation Features: optical system adjustment, multiple scanning on 200×200 mm range by user-defined scenario, overlay of optical and AFM images, panoramic optical view, place of interest saving, autofocus on cantilever, autofocus on sample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Programming tools: Nova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PowerScript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language,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LabView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integration, Database integration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Database storage of obtained images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PC interface: USB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Environmental Protection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Temperature stabilization: build-in fan free thermal stabilization with 0.05 °C accuracy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Acoustic isolation: build-in acoustic enclosure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Vibration isolation: build-in active vibration isolation table</w:t>
      </w:r>
    </w:p>
    <w:p w:rsidR="004810D3" w:rsidRP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4810D3">
        <w:rPr>
          <w:rFonts w:ascii="Exo 2" w:hAnsi="Exo 2" w:cs="Arial"/>
          <w:color w:val="003367"/>
          <w:sz w:val="26"/>
          <w:szCs w:val="26"/>
          <w:lang w:val="en-US"/>
        </w:rPr>
        <w:t>Basic Set of Modes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Contact mode: Topography, Lateral Force, Force modulation, Spreading Resistance,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Piezoresponse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Force Microscopy, 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Contact</w:t>
      </w:r>
      <w:proofErr w:type="gram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Resonance Microscopy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Amplitude modulation mode: Topography, Phase Imaging, Single- and Two-pass Kelvin Probe Force Microscopy with Phase and Amplitude Modulation, Two-pass and Frame Lift </w:t>
      </w:r>
      <w:r w:rsidRPr="004810D3">
        <w:rPr>
          <w:rFonts w:ascii="Arial" w:hAnsi="Arial" w:cs="Arial"/>
          <w:color w:val="545454"/>
          <w:sz w:val="23"/>
          <w:szCs w:val="23"/>
          <w:lang w:val="en-US"/>
        </w:rPr>
        <w:lastRenderedPageBreak/>
        <w:t>Magnetic Force Microscopy, Single- and Two-pass Electrostatic Force Microscopy, Single- and Two-pass Scanning Capacitance Force Microscopy (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dC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/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dZ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and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dC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/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dV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imaging)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HybriD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mode: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Topography,Young's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modulus QNM for 10</w:t>
      </w:r>
      <w:r w:rsidRPr="004810D3">
        <w:rPr>
          <w:rFonts w:ascii="Arial" w:hAnsi="Arial" w:cs="Arial"/>
          <w:color w:val="545454"/>
          <w:sz w:val="17"/>
          <w:szCs w:val="17"/>
          <w:vertAlign w:val="superscript"/>
          <w:lang w:val="en-US"/>
        </w:rPr>
        <w:t>4</w:t>
      </w:r>
      <w:r w:rsidRPr="004810D3">
        <w:rPr>
          <w:rFonts w:ascii="Arial" w:hAnsi="Arial" w:cs="Arial"/>
          <w:color w:val="545454"/>
          <w:sz w:val="23"/>
          <w:szCs w:val="23"/>
          <w:lang w:val="en-US"/>
        </w:rPr>
        <w:t> to 10</w:t>
      </w:r>
      <w:r w:rsidRPr="004810D3">
        <w:rPr>
          <w:rFonts w:ascii="Arial" w:hAnsi="Arial" w:cs="Arial"/>
          <w:color w:val="545454"/>
          <w:sz w:val="17"/>
          <w:szCs w:val="17"/>
          <w:vertAlign w:val="superscript"/>
          <w:lang w:val="en-US"/>
        </w:rPr>
        <w:t>11</w:t>
      </w: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 Pa, Work of Adhesion QNM, Force Volume, Current,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Piezoresponse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, Viscoelasticity, Kelvin Probe Force Microscopy with Phase and Amplitude Modulation, Magnetic Force Microscopy, Electrostatic Force Microscopy, Scanning Capacitance Force Microscopy (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dC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/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dZ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and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dC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/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dV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 imaging)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>Nanolithography: Voltage, Current, Force (All Vector and Raster)</w:t>
      </w:r>
    </w:p>
    <w:p w:rsidR="004810D3" w:rsidRP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Spectroscopy: Force-, Amplitude-, Phase-, Frequency-, Current-Distance, </w:t>
      </w:r>
      <w:proofErr w:type="gram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I(</w:t>
      </w:r>
      <w:proofErr w:type="gram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 xml:space="preserve">V), </w:t>
      </w:r>
      <w:proofErr w:type="spellStart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Piezopulse</w:t>
      </w:r>
      <w:proofErr w:type="spellEnd"/>
      <w:r w:rsidRPr="004810D3">
        <w:rPr>
          <w:rFonts w:ascii="Arial" w:hAnsi="Arial" w:cs="Arial"/>
          <w:color w:val="545454"/>
          <w:sz w:val="23"/>
          <w:szCs w:val="23"/>
          <w:lang w:val="en-US"/>
        </w:rPr>
        <w:t>, Custom mode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proofErr w:type="spellStart"/>
      <w:r>
        <w:rPr>
          <w:rFonts w:ascii="Exo 2" w:hAnsi="Exo 2" w:cs="Arial"/>
          <w:color w:val="003367"/>
          <w:sz w:val="26"/>
          <w:szCs w:val="26"/>
        </w:rPr>
        <w:t>Dimensions</w:t>
      </w:r>
      <w:proofErr w:type="spellEnd"/>
      <w:r>
        <w:rPr>
          <w:rFonts w:ascii="Exo 2" w:hAnsi="Exo 2" w:cs="Arial"/>
          <w:color w:val="003367"/>
          <w:sz w:val="26"/>
          <w:szCs w:val="26"/>
        </w:rPr>
        <w:t>: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W×L×H: 810×610×1450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mm</w:t>
      </w:r>
      <w:proofErr w:type="spellEnd"/>
    </w:p>
    <w:p w:rsidR="00B63D8E" w:rsidRDefault="00B63D8E" w:rsidP="004810D3"/>
    <w:p w:rsidR="004810D3" w:rsidRDefault="004810D3" w:rsidP="004810D3">
      <w:pPr>
        <w:pStyle w:val="2"/>
        <w:shd w:val="clear" w:color="auto" w:fill="F7F7F7"/>
        <w:spacing w:before="0" w:after="240"/>
        <w:rPr>
          <w:rFonts w:ascii="Exo 2" w:hAnsi="Exo 2" w:cs="Arial"/>
          <w:color w:val="003367"/>
          <w:sz w:val="32"/>
          <w:szCs w:val="32"/>
        </w:rPr>
      </w:pPr>
      <w:r>
        <w:rPr>
          <w:rFonts w:ascii="Exo 2" w:hAnsi="Exo 2" w:cs="Arial"/>
          <w:color w:val="003367"/>
          <w:sz w:val="32"/>
          <w:szCs w:val="32"/>
        </w:rPr>
        <w:t>Спецификация</w:t>
      </w:r>
    </w:p>
    <w:p w:rsidR="004810D3" w:rsidRDefault="004810D3" w:rsidP="004810D3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Измерительные головки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АСМ головка для традиционных АСМ зондов. Возможно использование большинства коммерческих зондов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Сканер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Тип: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Пьезотрубчатый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сканер с датчиками обратной связи (ОС), сканирование зондом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Область сканирования, XYZ: 100×100×10 мкм или 2×2×0.2 мкм в режиме высокого разрешения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Обратная связь: доступна для XYZ направлений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Шум: &lt;300 пм по XY и &lt;30 пм по Z при замкнутой цепи ОС, &lt;30 пм по XYZ при разомкнутой цепи ОС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Шум управляющей электроники &lt;5 мкВ/√</w:t>
      </w:r>
      <w:proofErr w:type="gramStart"/>
      <w:r>
        <w:rPr>
          <w:rFonts w:ascii="Arial" w:hAnsi="Arial" w:cs="Arial"/>
          <w:color w:val="545454"/>
          <w:sz w:val="23"/>
          <w:szCs w:val="23"/>
        </w:rPr>
        <w:t>Гц</w:t>
      </w:r>
      <w:proofErr w:type="gramEnd"/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Позиционирование зонд-образец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Тип: моторизованное позиционирование образца по XYZ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XYZ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термодрейф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: &lt;0.2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нм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/мин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Область перемещений: 200×200 мм по XY, 30 мм по Z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Точность позиционирования: 1 мкм по XY, 0.2 мкм по Z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Скорость позиционирования: 8 мм/сек по XY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Навигация: автоматизированное многократное сканирование по пользовательскому сценарию, по видеоизображению, 3D манипулятором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>Подвод: алгоритм интеллектуального мягкого подвода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Оптический датчик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Источник излучения: 850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нм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СЛД с FC коннектором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одномодового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волокна, опционально LDM и SLD источники с разными длинами волн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Настройка оптической системы: автоматизированная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Шум датчика системы регистрации изгибов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кантилевера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: &lt;25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фм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/√Гц выше 50 кГц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Модуль видеонаблюдения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Тип: моторизованная фокусировка, ступенчатый зум и XY позиционирование. Калибровка по положению образца и лазера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Разрешение: 0,98 мкм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Поле зрения: до 1,2х</w:t>
      </w:r>
      <w:proofErr w:type="gramStart"/>
      <w:r>
        <w:rPr>
          <w:rFonts w:ascii="Arial" w:hAnsi="Arial" w:cs="Arial"/>
          <w:color w:val="545454"/>
          <w:sz w:val="23"/>
          <w:szCs w:val="23"/>
        </w:rPr>
        <w:t>0</w:t>
      </w:r>
      <w:proofErr w:type="gramEnd"/>
      <w:r>
        <w:rPr>
          <w:rFonts w:ascii="Arial" w:hAnsi="Arial" w:cs="Arial"/>
          <w:color w:val="545454"/>
          <w:sz w:val="23"/>
          <w:szCs w:val="23"/>
        </w:rPr>
        <w:t xml:space="preserve">,8 мм (5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Мп</w:t>
      </w:r>
      <w:proofErr w:type="spellEnd"/>
      <w:r>
        <w:rPr>
          <w:rFonts w:ascii="Arial" w:hAnsi="Arial" w:cs="Arial"/>
          <w:color w:val="545454"/>
          <w:sz w:val="23"/>
          <w:szCs w:val="23"/>
        </w:rPr>
        <w:t>)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Автофокусировка: на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кантилевере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на образце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Аксессуары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Набор держателей образцов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+/- 150 V расширитель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напряжени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Модуль внешнего доступа к сигналам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АСМ зонды: держатель АСМ зондов поддерживает большинство коммерческих зондов</w:t>
      </w:r>
    </w:p>
    <w:p w:rsidR="004810D3" w:rsidRDefault="004810D3" w:rsidP="004810D3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 xml:space="preserve">Управляющая электроника и </w:t>
      </w:r>
      <w:proofErr w:type="gramStart"/>
      <w:r>
        <w:rPr>
          <w:rFonts w:ascii="Exo 2" w:hAnsi="Exo 2" w:cs="Arial"/>
          <w:color w:val="003367"/>
          <w:sz w:val="26"/>
          <w:szCs w:val="26"/>
        </w:rPr>
        <w:t>ПО</w:t>
      </w:r>
      <w:proofErr w:type="gramEnd"/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Поддерживается одновременно до 24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назависимых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каналов сканирования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Обработка сигналов: размер буфера 512 Мбит, 3x340 МГц FPGA, 320 </w:t>
      </w:r>
      <w:proofErr w:type="spellStart"/>
      <w:proofErr w:type="gramStart"/>
      <w:r>
        <w:rPr>
          <w:rFonts w:ascii="Arial" w:hAnsi="Arial" w:cs="Arial"/>
          <w:color w:val="545454"/>
          <w:sz w:val="23"/>
          <w:szCs w:val="23"/>
        </w:rPr>
        <w:t>M</w:t>
      </w:r>
      <w:proofErr w:type="gramEnd"/>
      <w:r>
        <w:rPr>
          <w:rFonts w:ascii="Arial" w:hAnsi="Arial" w:cs="Arial"/>
          <w:color w:val="545454"/>
          <w:sz w:val="23"/>
          <w:szCs w:val="23"/>
        </w:rPr>
        <w:t>Гц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DSP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Синхронные детекторы: 2 аналоговых СД, 3 цифровых СД (поддержка многочастотных АСМ методик)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Генераторы: 6x32 бит цифровых генераторов, 4x для СД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Напряжение смещения: +/- 10</w:t>
      </w:r>
      <w:proofErr w:type="gramStart"/>
      <w:r>
        <w:rPr>
          <w:rFonts w:ascii="Arial" w:hAnsi="Arial" w:cs="Arial"/>
          <w:color w:val="545454"/>
          <w:sz w:val="23"/>
          <w:szCs w:val="23"/>
        </w:rPr>
        <w:t xml:space="preserve"> В</w:t>
      </w:r>
      <w:proofErr w:type="gramEnd"/>
      <w:r>
        <w:rPr>
          <w:rFonts w:ascii="Arial" w:hAnsi="Arial" w:cs="Arial"/>
          <w:color w:val="545454"/>
          <w:sz w:val="23"/>
          <w:szCs w:val="23"/>
        </w:rPr>
        <w:t xml:space="preserve"> AC и DC (независимая подача смещения на образец и зонд), +/- 150 В AC и DC (опционально)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Самотестирование: автоматическая проверка функционирования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Автоматическое конфигурирование продвинутых методик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Возможности автоматизации: настройка оптической системы, покадровое сканирование 200х200 мм области по заданному сценарию, наложение оптического и АСМ изображений, панорамный оптический обзор, сохранение рабочей области, автофокусировка на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кантилевер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автофокусировка на образец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 xml:space="preserve">Инструменты программирования: язык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Nova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PowerScript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, интеграция с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LabView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интеграция с Базой данных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Возможности автоматизации: настройка оптической системы регистрации, многократное сканирование по заданному сценарию в пределах области 200х200 мм, наложение оптического и АСМ изображений, панорамный оптический обзор, автофокусировка на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кантилевер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автофокусировка на образец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База данных полученных изображений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Интерфейс: USB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Изоляция прибора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proofErr w:type="spellStart"/>
      <w:r>
        <w:rPr>
          <w:rFonts w:ascii="Arial" w:hAnsi="Arial" w:cs="Arial"/>
          <w:color w:val="545454"/>
          <w:sz w:val="23"/>
          <w:szCs w:val="23"/>
        </w:rPr>
        <w:t>Термостабилизация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: встроенная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безвентиляторная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температурная стабилизация с точностью 0.05</w:t>
      </w:r>
      <w:proofErr w:type="gramStart"/>
      <w:r>
        <w:rPr>
          <w:rFonts w:ascii="Arial" w:hAnsi="Arial" w:cs="Arial"/>
          <w:color w:val="545454"/>
          <w:sz w:val="23"/>
          <w:szCs w:val="23"/>
        </w:rPr>
        <w:t xml:space="preserve"> °С</w:t>
      </w:r>
      <w:proofErr w:type="gramEnd"/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Акустическая изоляция: встроенный акустический кожух</w:t>
      </w:r>
    </w:p>
    <w:p w:rsidR="004810D3" w:rsidRDefault="004810D3" w:rsidP="004810D3">
      <w:pPr>
        <w:pStyle w:val="a8"/>
        <w:shd w:val="clear" w:color="auto" w:fill="F7F7F7"/>
        <w:spacing w:before="0" w:beforeAutospacing="0" w:after="24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Виброизоляция: встроенный активный виброизолирующий стол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Базовый набор методик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b/>
          <w:bCs/>
          <w:color w:val="545454"/>
          <w:sz w:val="23"/>
          <w:szCs w:val="23"/>
        </w:rPr>
        <w:t>Контактный метод:</w:t>
      </w:r>
      <w:r>
        <w:rPr>
          <w:rFonts w:ascii="Arial" w:hAnsi="Arial" w:cs="Arial"/>
          <w:color w:val="545454"/>
          <w:sz w:val="23"/>
          <w:szCs w:val="23"/>
        </w:rPr>
        <w:t xml:space="preserve"> Рельеф, Латеральная сила, Силовая модуляция, Ток растекания, Силовая микроскопия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пьезоотклика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Контактная резонансная микроскопия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b/>
          <w:bCs/>
          <w:color w:val="545454"/>
          <w:sz w:val="23"/>
          <w:szCs w:val="23"/>
        </w:rPr>
        <w:t>Амплитудно-модуляционный метод:</w:t>
      </w:r>
      <w:r>
        <w:rPr>
          <w:rFonts w:ascii="Arial" w:hAnsi="Arial" w:cs="Arial"/>
          <w:color w:val="545454"/>
          <w:sz w:val="23"/>
          <w:szCs w:val="23"/>
        </w:rPr>
        <w:t xml:space="preserve"> Рельеф, Отображение фазы, Одно- и двухпроходная </w:t>
      </w:r>
      <w:proofErr w:type="gramStart"/>
      <w:r>
        <w:rPr>
          <w:rFonts w:ascii="Arial" w:hAnsi="Arial" w:cs="Arial"/>
          <w:color w:val="545454"/>
          <w:sz w:val="23"/>
          <w:szCs w:val="23"/>
        </w:rPr>
        <w:t>Кельвин-зондовая</w:t>
      </w:r>
      <w:proofErr w:type="gramEnd"/>
      <w:r>
        <w:rPr>
          <w:rFonts w:ascii="Arial" w:hAnsi="Arial" w:cs="Arial"/>
          <w:color w:val="545454"/>
          <w:sz w:val="23"/>
          <w:szCs w:val="23"/>
        </w:rPr>
        <w:t xml:space="preserve"> силовая микроскопия с фазовой и амплитудной модуляцией, Двухпроходная и Покадровая Магнитно-силовая микроскопия, Одно- и двухпроходная Электростатическая силовая микроскопия, Сканирующая ёмкостная силовая микроскопия (отображение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dC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dZ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dC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dV</w:t>
      </w:r>
      <w:proofErr w:type="spellEnd"/>
      <w:r>
        <w:rPr>
          <w:rFonts w:ascii="Arial" w:hAnsi="Arial" w:cs="Arial"/>
          <w:color w:val="545454"/>
          <w:sz w:val="23"/>
          <w:szCs w:val="23"/>
        </w:rPr>
        <w:t>)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545454"/>
          <w:sz w:val="23"/>
          <w:szCs w:val="23"/>
        </w:rPr>
        <w:t>HybriD</w:t>
      </w:r>
      <w:proofErr w:type="spellEnd"/>
      <w:r>
        <w:rPr>
          <w:rFonts w:ascii="Arial" w:hAnsi="Arial" w:cs="Arial"/>
          <w:b/>
          <w:bCs/>
          <w:color w:val="545454"/>
          <w:sz w:val="23"/>
          <w:szCs w:val="23"/>
        </w:rPr>
        <w:t xml:space="preserve"> метод:</w:t>
      </w:r>
      <w:r>
        <w:rPr>
          <w:rFonts w:ascii="Arial" w:hAnsi="Arial" w:cs="Arial"/>
          <w:color w:val="545454"/>
          <w:sz w:val="23"/>
          <w:szCs w:val="23"/>
        </w:rPr>
        <w:t> Рельеф, Модуль упругости (от 10</w:t>
      </w:r>
      <w:r>
        <w:rPr>
          <w:rFonts w:ascii="Arial" w:hAnsi="Arial" w:cs="Arial"/>
          <w:color w:val="545454"/>
          <w:sz w:val="17"/>
          <w:szCs w:val="17"/>
          <w:vertAlign w:val="superscript"/>
        </w:rPr>
        <w:t>4</w:t>
      </w:r>
      <w:r>
        <w:rPr>
          <w:rFonts w:ascii="Arial" w:hAnsi="Arial" w:cs="Arial"/>
          <w:color w:val="545454"/>
          <w:sz w:val="23"/>
          <w:szCs w:val="23"/>
        </w:rPr>
        <w:t> до 10</w:t>
      </w:r>
      <w:r>
        <w:rPr>
          <w:rFonts w:ascii="Arial" w:hAnsi="Arial" w:cs="Arial"/>
          <w:color w:val="545454"/>
          <w:sz w:val="17"/>
          <w:szCs w:val="17"/>
          <w:vertAlign w:val="superscript"/>
        </w:rPr>
        <w:t>11</w:t>
      </w:r>
      <w:r>
        <w:rPr>
          <w:rFonts w:ascii="Arial" w:hAnsi="Arial" w:cs="Arial"/>
          <w:color w:val="545454"/>
          <w:sz w:val="23"/>
          <w:szCs w:val="23"/>
        </w:rPr>
        <w:t xml:space="preserve"> Па), Работа адгезии, Объемная силовая спектроскопия, Ток,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Пьезоотклик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Вязкоупругость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color w:val="545454"/>
          <w:sz w:val="23"/>
          <w:szCs w:val="23"/>
        </w:rPr>
        <w:t>Кельвин-зондовая</w:t>
      </w:r>
      <w:proofErr w:type="gramEnd"/>
      <w:r>
        <w:rPr>
          <w:rFonts w:ascii="Arial" w:hAnsi="Arial" w:cs="Arial"/>
          <w:color w:val="545454"/>
          <w:sz w:val="23"/>
          <w:szCs w:val="23"/>
        </w:rPr>
        <w:t xml:space="preserve"> силовая микроскопия с фазовой и амплитудной модуляцией, Магнитно-силовая микроскопия, Электростатическая силовая микроскопия, Сканирующая ёмкостная силовая микроскопия (отображение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dC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dZ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dC</w:t>
      </w:r>
      <w:proofErr w:type="spellEnd"/>
      <w:r>
        <w:rPr>
          <w:rFonts w:ascii="Arial" w:hAnsi="Arial" w:cs="Arial"/>
          <w:color w:val="545454"/>
          <w:sz w:val="23"/>
          <w:szCs w:val="23"/>
        </w:rPr>
        <w:t>/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dV</w:t>
      </w:r>
      <w:proofErr w:type="spellEnd"/>
      <w:r>
        <w:rPr>
          <w:rFonts w:ascii="Arial" w:hAnsi="Arial" w:cs="Arial"/>
          <w:color w:val="545454"/>
          <w:sz w:val="23"/>
          <w:szCs w:val="23"/>
        </w:rPr>
        <w:t>)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545454"/>
          <w:sz w:val="23"/>
          <w:szCs w:val="23"/>
        </w:rPr>
        <w:t>Нанолитография</w:t>
      </w:r>
      <w:proofErr w:type="spellEnd"/>
      <w:r>
        <w:rPr>
          <w:rFonts w:ascii="Arial" w:hAnsi="Arial" w:cs="Arial"/>
          <w:b/>
          <w:bCs/>
          <w:color w:val="545454"/>
          <w:sz w:val="23"/>
          <w:szCs w:val="23"/>
        </w:rPr>
        <w:t>:</w:t>
      </w:r>
      <w:r>
        <w:rPr>
          <w:rFonts w:ascii="Arial" w:hAnsi="Arial" w:cs="Arial"/>
          <w:color w:val="545454"/>
          <w:sz w:val="23"/>
          <w:szCs w:val="23"/>
        </w:rPr>
        <w:t> 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Вольтовая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Токовая, Силовая (Векторные и растровые)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b/>
          <w:bCs/>
          <w:color w:val="545454"/>
          <w:sz w:val="23"/>
          <w:szCs w:val="23"/>
        </w:rPr>
        <w:t>Спектроскопия:</w:t>
      </w:r>
      <w:r>
        <w:rPr>
          <w:rFonts w:ascii="Arial" w:hAnsi="Arial" w:cs="Arial"/>
          <w:color w:val="545454"/>
          <w:sz w:val="23"/>
          <w:szCs w:val="23"/>
        </w:rPr>
        <w:t> Сил</w:t>
      </w:r>
      <w:proofErr w:type="gramStart"/>
      <w:r>
        <w:rPr>
          <w:rFonts w:ascii="Arial" w:hAnsi="Arial" w:cs="Arial"/>
          <w:color w:val="545454"/>
          <w:sz w:val="23"/>
          <w:szCs w:val="23"/>
        </w:rPr>
        <w:t>а-</w:t>
      </w:r>
      <w:proofErr w:type="gramEnd"/>
      <w:r>
        <w:rPr>
          <w:rFonts w:ascii="Arial" w:hAnsi="Arial" w:cs="Arial"/>
          <w:color w:val="545454"/>
          <w:sz w:val="23"/>
          <w:szCs w:val="23"/>
        </w:rPr>
        <w:t xml:space="preserve">, Амплитуда-, Фаза-, Частота-, Ток-расстояние, I(V),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Пьезоимпульсная</w:t>
      </w:r>
      <w:proofErr w:type="spellEnd"/>
      <w:r>
        <w:rPr>
          <w:rFonts w:ascii="Arial" w:hAnsi="Arial" w:cs="Arial"/>
          <w:color w:val="545454"/>
          <w:sz w:val="23"/>
          <w:szCs w:val="23"/>
        </w:rPr>
        <w:t>, Пользовательские методики</w:t>
      </w:r>
    </w:p>
    <w:p w:rsidR="004810D3" w:rsidRDefault="004810D3" w:rsidP="004810D3">
      <w:pPr>
        <w:pStyle w:val="4"/>
        <w:shd w:val="clear" w:color="auto" w:fill="F7F7F7"/>
        <w:spacing w:before="36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Размеры:</w:t>
      </w:r>
    </w:p>
    <w:p w:rsidR="004810D3" w:rsidRDefault="004810D3" w:rsidP="004810D3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proofErr w:type="gramStart"/>
      <w:r>
        <w:rPr>
          <w:rFonts w:ascii="Arial" w:hAnsi="Arial" w:cs="Arial"/>
          <w:color w:val="545454"/>
          <w:sz w:val="23"/>
          <w:szCs w:val="23"/>
        </w:rPr>
        <w:t>Ш</w:t>
      </w:r>
      <w:proofErr w:type="gramEnd"/>
      <w:r>
        <w:rPr>
          <w:rFonts w:ascii="Arial" w:hAnsi="Arial" w:cs="Arial"/>
          <w:color w:val="545454"/>
          <w:sz w:val="23"/>
          <w:szCs w:val="23"/>
        </w:rPr>
        <w:t>×Г×В: 810×610×1450 мм</w:t>
      </w:r>
    </w:p>
    <w:p w:rsidR="004810D3" w:rsidRPr="004810D3" w:rsidRDefault="004810D3" w:rsidP="004810D3">
      <w:bookmarkStart w:id="0" w:name="_GoBack"/>
      <w:bookmarkEnd w:id="0"/>
    </w:p>
    <w:sectPr w:rsidR="004810D3" w:rsidRPr="004810D3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B5344"/>
    <w:rsid w:val="00BC0922"/>
    <w:rsid w:val="00BC2EE2"/>
    <w:rsid w:val="00BF3673"/>
    <w:rsid w:val="00C468F7"/>
    <w:rsid w:val="00C556DD"/>
    <w:rsid w:val="00C603AE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D01C7-E5FE-4E92-89F0-F9A82A49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7</cp:revision>
  <dcterms:created xsi:type="dcterms:W3CDTF">2021-02-12T08:26:00Z</dcterms:created>
  <dcterms:modified xsi:type="dcterms:W3CDTF">2021-02-19T08:28:00Z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